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D3" w:rsidRPr="00476660" w:rsidRDefault="00A346D3" w:rsidP="00A346D3">
      <w:pPr>
        <w:rPr>
          <w:sz w:val="12"/>
          <w:szCs w:val="12"/>
        </w:rPr>
      </w:pPr>
    </w:p>
    <w:tbl>
      <w:tblPr>
        <w:tblOverlap w:val="never"/>
        <w:tblW w:w="10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1"/>
        <w:gridCol w:w="2189"/>
      </w:tblGrid>
      <w:tr w:rsidR="001C0DCA" w:rsidRPr="00476660" w:rsidTr="00862770">
        <w:trPr>
          <w:cantSplit/>
        </w:trPr>
        <w:tc>
          <w:tcPr>
            <w:tcW w:w="8621" w:type="dxa"/>
            <w:vAlign w:val="bottom"/>
          </w:tcPr>
          <w:p w:rsidR="001C0DCA" w:rsidRPr="00476660" w:rsidRDefault="00697F08" w:rsidP="009B20F9">
            <w:pPr>
              <w:pStyle w:val="BodyText3"/>
              <w:spacing w:before="0" w:line="240" w:lineRule="auto"/>
              <w:jc w:val="left"/>
              <w:rPr>
                <w:b/>
                <w:color w:val="FFFFFF" w:themeColor="background1"/>
                <w:sz w:val="49"/>
                <w:szCs w:val="49"/>
              </w:rPr>
            </w:pPr>
            <w:r w:rsidRPr="00476660">
              <w:rPr>
                <w:rStyle w:val="Bodytext23pt"/>
                <w:b w:val="0"/>
                <w:color w:val="FFFFFF" w:themeColor="background1"/>
                <w:spacing w:val="0"/>
                <w:sz w:val="49"/>
              </w:rPr>
              <w:t>GESTIÓN INTEGRADA DE LA</w:t>
            </w:r>
          </w:p>
        </w:tc>
        <w:tc>
          <w:tcPr>
            <w:tcW w:w="2189" w:type="dxa"/>
          </w:tcPr>
          <w:p w:rsidR="001C0DCA" w:rsidRPr="00476660" w:rsidRDefault="001C0DCA" w:rsidP="00A346D3">
            <w:pPr>
              <w:rPr>
                <w:sz w:val="10"/>
                <w:szCs w:val="10"/>
              </w:rPr>
            </w:pPr>
          </w:p>
        </w:tc>
      </w:tr>
      <w:tr w:rsidR="001C0DCA" w:rsidRPr="00476660" w:rsidTr="00862770">
        <w:trPr>
          <w:cantSplit/>
        </w:trPr>
        <w:tc>
          <w:tcPr>
            <w:tcW w:w="8621" w:type="dxa"/>
          </w:tcPr>
          <w:p w:rsidR="001C0DCA" w:rsidRPr="00476660" w:rsidRDefault="00697F08" w:rsidP="009B20F9">
            <w:pPr>
              <w:pStyle w:val="BodyText3"/>
              <w:spacing w:before="0" w:line="240" w:lineRule="auto"/>
              <w:jc w:val="left"/>
              <w:rPr>
                <w:b/>
                <w:color w:val="FFFFFF" w:themeColor="background1"/>
                <w:sz w:val="49"/>
                <w:szCs w:val="49"/>
              </w:rPr>
            </w:pPr>
            <w:r w:rsidRPr="00476660">
              <w:rPr>
                <w:rStyle w:val="Bodytext23pt"/>
                <w:b w:val="0"/>
                <w:color w:val="FFFFFF" w:themeColor="background1"/>
                <w:spacing w:val="0"/>
                <w:sz w:val="49"/>
              </w:rPr>
              <w:t>RED UNIVERSAL</w:t>
            </w:r>
          </w:p>
        </w:tc>
        <w:tc>
          <w:tcPr>
            <w:tcW w:w="2189" w:type="dxa"/>
          </w:tcPr>
          <w:p w:rsidR="001C0DCA" w:rsidRPr="00476660" w:rsidRDefault="001C0DCA" w:rsidP="00A346D3">
            <w:pPr>
              <w:rPr>
                <w:sz w:val="10"/>
                <w:szCs w:val="10"/>
              </w:rPr>
            </w:pPr>
          </w:p>
        </w:tc>
      </w:tr>
      <w:tr w:rsidR="001C0DCA" w:rsidRPr="00476660" w:rsidTr="00862770">
        <w:trPr>
          <w:cantSplit/>
        </w:trPr>
        <w:tc>
          <w:tcPr>
            <w:tcW w:w="8621" w:type="dxa"/>
          </w:tcPr>
          <w:p w:rsidR="001C0DCA" w:rsidRPr="00476660" w:rsidRDefault="00697F08" w:rsidP="009B20F9">
            <w:pPr>
              <w:pStyle w:val="BodyText3"/>
              <w:spacing w:before="0" w:line="240" w:lineRule="auto"/>
              <w:jc w:val="left"/>
              <w:rPr>
                <w:b/>
                <w:color w:val="FFFFFF" w:themeColor="background1"/>
                <w:sz w:val="40"/>
                <w:szCs w:val="40"/>
              </w:rPr>
            </w:pPr>
            <w:r w:rsidRPr="00476660">
              <w:rPr>
                <w:rStyle w:val="Bodytext18pt"/>
                <w:b w:val="0"/>
                <w:color w:val="FFFFFF" w:themeColor="background1"/>
                <w:sz w:val="40"/>
              </w:rPr>
              <w:t>Definiciones de los módulos de la red</w:t>
            </w:r>
          </w:p>
        </w:tc>
        <w:tc>
          <w:tcPr>
            <w:tcW w:w="2189" w:type="dxa"/>
          </w:tcPr>
          <w:p w:rsidR="001C0DCA" w:rsidRPr="00476660" w:rsidRDefault="001C0DCA" w:rsidP="00A346D3">
            <w:pPr>
              <w:rPr>
                <w:sz w:val="10"/>
                <w:szCs w:val="10"/>
              </w:rPr>
            </w:pPr>
          </w:p>
        </w:tc>
      </w:tr>
    </w:tbl>
    <w:p w:rsidR="001C0DCA" w:rsidRPr="00476660" w:rsidRDefault="001C0DCA" w:rsidP="00A346D3">
      <w:pPr>
        <w:rPr>
          <w:rFonts w:ascii="Arial" w:hAnsi="Arial" w:cs="Arial"/>
        </w:rPr>
      </w:pPr>
    </w:p>
    <w:p w:rsidR="00862770" w:rsidRPr="00476660" w:rsidRDefault="00862770" w:rsidP="00A346D3">
      <w:pPr>
        <w:rPr>
          <w:rFonts w:ascii="Arial" w:hAnsi="Arial" w:cs="Arial"/>
        </w:rPr>
      </w:pPr>
    </w:p>
    <w:p w:rsidR="002052FC" w:rsidRPr="00476660" w:rsidRDefault="002052FC" w:rsidP="00A346D3">
      <w:pPr>
        <w:rPr>
          <w:rFonts w:ascii="Arial" w:hAnsi="Arial" w:cs="Arial"/>
          <w:sz w:val="12"/>
          <w:szCs w:val="10"/>
        </w:rPr>
      </w:pPr>
    </w:p>
    <w:tbl>
      <w:tblPr>
        <w:tblOverlap w:val="never"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08"/>
        <w:gridCol w:w="8010"/>
      </w:tblGrid>
      <w:tr w:rsidR="001C0DCA" w:rsidRPr="00476660" w:rsidTr="009B20F9">
        <w:trPr>
          <w:trHeight w:val="331"/>
        </w:trPr>
        <w:tc>
          <w:tcPr>
            <w:tcW w:w="2808" w:type="dxa"/>
            <w:shd w:val="clear" w:color="auto" w:fill="1FA9DF"/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</w:pPr>
            <w:r w:rsidRPr="00476660">
              <w:rPr>
                <w:rStyle w:val="Bodytext85pt"/>
                <w:rFonts w:ascii="HelveticaNeueLT Std" w:hAnsi="HelveticaNeueLT Std"/>
                <w:color w:val="FFFFFF" w:themeColor="background1"/>
                <w:sz w:val="20"/>
              </w:rPr>
              <w:t>Módulos</w:t>
            </w:r>
          </w:p>
        </w:tc>
        <w:tc>
          <w:tcPr>
            <w:tcW w:w="8010" w:type="dxa"/>
            <w:shd w:val="clear" w:color="auto" w:fill="1FA9DF"/>
            <w:vAlign w:val="center"/>
          </w:tcPr>
          <w:p w:rsidR="001C0DCA" w:rsidRPr="00476660" w:rsidRDefault="00D05EC9" w:rsidP="00D05EC9">
            <w:pPr>
              <w:pStyle w:val="BodyText3"/>
              <w:spacing w:before="0" w:line="240" w:lineRule="auto"/>
              <w:jc w:val="center"/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</w:pPr>
            <w:r w:rsidRPr="00476660">
              <w:rPr>
                <w:rStyle w:val="Bodytext85pt"/>
                <w:rFonts w:ascii="HelveticaNeueLT Std" w:hAnsi="HelveticaNeueLT Std"/>
                <w:color w:val="FFFFFF" w:themeColor="background1"/>
                <w:sz w:val="20"/>
              </w:rPr>
              <w:t>Definición</w:t>
            </w:r>
          </w:p>
        </w:tc>
      </w:tr>
      <w:tr w:rsidR="001C0DCA" w:rsidRPr="00476660" w:rsidTr="009B20F9">
        <w:trPr>
          <w:trHeight w:val="475"/>
        </w:trPr>
        <w:tc>
          <w:tcPr>
            <w:tcW w:w="2808" w:type="dxa"/>
            <w:tcBorders>
              <w:bottom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5pt0"/>
                <w:rFonts w:ascii="HelveticaNeueLT Std" w:hAnsi="HelveticaNeueLT Std"/>
                <w:sz w:val="18"/>
              </w:rPr>
              <w:t>MAPA DEL SISTEMA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Mapa creado de acuerdo con una especificación definida por el cliente que no se considera reutilizable en toda la red.</w:t>
            </w:r>
          </w:p>
        </w:tc>
      </w:tr>
      <w:tr w:rsidR="001C0DCA" w:rsidRPr="00476660" w:rsidTr="009B20F9">
        <w:trPr>
          <w:trHeight w:val="432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5pt0"/>
                <w:rFonts w:ascii="HelveticaNeueLT Std" w:hAnsi="HelveticaNeueLT Std"/>
                <w:sz w:val="18"/>
              </w:rPr>
              <w:t>ADMINISTRACIÓN DEL PRODUCTO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Mantenimiento de la información del producto, como SKU, UPC y GTIN.</w:t>
            </w:r>
          </w:p>
        </w:tc>
      </w:tr>
      <w:tr w:rsidR="001C0DCA" w:rsidRPr="00476660" w:rsidTr="009B20F9">
        <w:trPr>
          <w:trHeight w:val="806"/>
        </w:trPr>
        <w:tc>
          <w:tcPr>
            <w:tcW w:w="2808" w:type="dxa"/>
            <w:tcBorders>
              <w:bottom w:val="dotted" w:sz="12" w:space="0" w:color="1FA9DF"/>
            </w:tcBorders>
          </w:tcPr>
          <w:p w:rsidR="001C0DCA" w:rsidRPr="00476660" w:rsidRDefault="00697F08" w:rsidP="009B20F9">
            <w:pPr>
              <w:pStyle w:val="BodyText3"/>
              <w:spacing w:before="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Referencia cruzada del producto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</w:tcPr>
          <w:p w:rsidR="001C0DCA" w:rsidRPr="00476660" w:rsidRDefault="00697F08" w:rsidP="00D05EC9">
            <w:pPr>
              <w:pStyle w:val="BodyText3"/>
              <w:spacing w:before="6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Administración de números de partes para una relación de socios comerciales, en la que se reúne información completa sobre los productos a través del depósito de productos de SPS, se ejecutan búsquedas de productos basadas en claves definidas y se ingresa información adicional sobre los productos en los datos (incluye número ilimitado de productos).</w:t>
            </w:r>
          </w:p>
        </w:tc>
      </w:tr>
      <w:tr w:rsidR="001C0DCA" w:rsidRPr="00476660" w:rsidTr="009B20F9">
        <w:trPr>
          <w:trHeight w:val="432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5pt0"/>
                <w:rFonts w:ascii="HelveticaNeueLT Std" w:hAnsi="HelveticaNeueLT Std"/>
                <w:sz w:val="18"/>
              </w:rPr>
              <w:t>ADMINISTRACIÓN DE LA UBICACIÓN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Mantenimiento de los envíos para los datos de ubicación</w:t>
            </w:r>
          </w:p>
        </w:tc>
      </w:tr>
      <w:tr w:rsidR="001C0DCA" w:rsidRPr="00476660" w:rsidTr="009B20F9">
        <w:tc>
          <w:tcPr>
            <w:tcW w:w="2808" w:type="dxa"/>
          </w:tcPr>
          <w:p w:rsidR="001C0DCA" w:rsidRPr="00476660" w:rsidRDefault="00697F08" w:rsidP="00D05EC9">
            <w:pPr>
              <w:pStyle w:val="BodyText3"/>
              <w:spacing w:before="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Maestro de ubicación</w:t>
            </w:r>
          </w:p>
        </w:tc>
        <w:tc>
          <w:tcPr>
            <w:tcW w:w="8010" w:type="dxa"/>
          </w:tcPr>
          <w:p w:rsidR="001C0DCA" w:rsidRPr="00476660" w:rsidRDefault="00697F08" w:rsidP="00D05EC9">
            <w:pPr>
              <w:pStyle w:val="BodyText3"/>
              <w:spacing w:before="60" w:after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Cómo rellenar la dirección de envío cuando se proporciona solo el número de ubicación en una solicitud y se supone que el remitente tiene una lista de direcciones publicadas.</w:t>
            </w:r>
          </w:p>
        </w:tc>
      </w:tr>
      <w:tr w:rsidR="001C0DCA" w:rsidRPr="00476660" w:rsidTr="009B20F9">
        <w:tc>
          <w:tcPr>
            <w:tcW w:w="2808" w:type="dxa"/>
            <w:tcBorders>
              <w:bottom w:val="dotted" w:sz="12" w:space="0" w:color="1FA9DF"/>
            </w:tcBorders>
          </w:tcPr>
          <w:p w:rsidR="001C0DCA" w:rsidRPr="00476660" w:rsidRDefault="00697F08" w:rsidP="00D05EC9">
            <w:pPr>
              <w:pStyle w:val="BodyText3"/>
              <w:spacing w:before="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Referencia cruzada de ubicaciones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</w:tcPr>
          <w:p w:rsidR="001C0DCA" w:rsidRPr="00476660" w:rsidRDefault="00697F08" w:rsidP="00476660">
            <w:pPr>
              <w:pStyle w:val="BodyText3"/>
              <w:spacing w:before="60" w:after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 xml:space="preserve">Administración de números de ubicaciones para una relación de socios comerciales, en la que </w:t>
            </w:r>
            <w:r w:rsidR="00476660" w:rsidRPr="00476660">
              <w:rPr>
                <w:rStyle w:val="Bodytext8pt"/>
                <w:rFonts w:ascii="HelveticaNeueLT Std" w:hAnsi="HelveticaNeueLT Std"/>
                <w:sz w:val="18"/>
              </w:rPr>
              <w:t>se</w:t>
            </w:r>
            <w:r w:rsidR="00476660">
              <w:rPr>
                <w:rStyle w:val="Bodytext8pt"/>
                <w:rFonts w:ascii="HelveticaNeueLT Std" w:hAnsi="HelveticaNeueLT Std"/>
                <w:sz w:val="18"/>
              </w:rPr>
              <w:t> </w:t>
            </w:r>
            <w:r w:rsidRPr="00476660">
              <w:rPr>
                <w:rStyle w:val="Bodytext8pt"/>
                <w:rFonts w:ascii="HelveticaNeueLT Std" w:hAnsi="HelveticaNeueLT Std"/>
                <w:sz w:val="18"/>
              </w:rPr>
              <w:t xml:space="preserve">reúne información completa sobre ubicaciones a través del depósito de productos de SPS, </w:t>
            </w:r>
            <w:r w:rsidR="00476660" w:rsidRPr="00476660">
              <w:rPr>
                <w:rStyle w:val="Bodytext8pt"/>
                <w:rFonts w:ascii="HelveticaNeueLT Std" w:hAnsi="HelveticaNeueLT Std"/>
                <w:sz w:val="18"/>
              </w:rPr>
              <w:t>se</w:t>
            </w:r>
            <w:r w:rsidR="00476660">
              <w:rPr>
                <w:rStyle w:val="Bodytext8pt"/>
                <w:rFonts w:ascii="HelveticaNeueLT Std" w:hAnsi="HelveticaNeueLT Std"/>
                <w:sz w:val="18"/>
              </w:rPr>
              <w:t> </w:t>
            </w:r>
            <w:r w:rsidRPr="00476660">
              <w:rPr>
                <w:rStyle w:val="Bodytext8pt"/>
                <w:rFonts w:ascii="HelveticaNeueLT Std" w:hAnsi="HelveticaNeueLT Std"/>
                <w:sz w:val="18"/>
              </w:rPr>
              <w:t>ejecutan búsquedas de ubicaciones basadas en claves definidas y se ingresa información adicional sobre envíos en los datos.</w:t>
            </w:r>
          </w:p>
        </w:tc>
      </w:tr>
      <w:tr w:rsidR="001C0DCA" w:rsidRPr="00476660" w:rsidTr="009B20F9">
        <w:trPr>
          <w:trHeight w:val="357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5pt0"/>
                <w:rFonts w:ascii="HelveticaNeueLT Std" w:hAnsi="HelveticaNeueLT Std"/>
                <w:sz w:val="18"/>
              </w:rPr>
              <w:t>ADMINISTRACIÓN DE LOS DATOS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476660" w:rsidRDefault="00697F08" w:rsidP="00D05EC9">
            <w:pPr>
              <w:pStyle w:val="BodyText3"/>
              <w:spacing w:before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Modificación del contenido y/o de la estructura de los datos, generalmente a través del cambio de su valor original.</w:t>
            </w:r>
          </w:p>
        </w:tc>
      </w:tr>
      <w:tr w:rsidR="001C0DCA" w:rsidRPr="009C2F0C" w:rsidTr="009B20F9">
        <w:trPr>
          <w:trHeight w:val="533"/>
        </w:trPr>
        <w:tc>
          <w:tcPr>
            <w:tcW w:w="2808" w:type="dxa"/>
            <w:vAlign w:val="center"/>
          </w:tcPr>
          <w:p w:rsidR="001C0DCA" w:rsidRPr="00476660" w:rsidRDefault="00697F08" w:rsidP="00D05EC9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476660">
              <w:rPr>
                <w:rStyle w:val="Bodytext8pt"/>
                <w:rFonts w:ascii="HelveticaNeueLT Std" w:hAnsi="HelveticaNeueLT Std"/>
                <w:sz w:val="18"/>
              </w:rPr>
              <w:t>Anexo de datos</w:t>
            </w:r>
          </w:p>
        </w:tc>
        <w:tc>
          <w:tcPr>
            <w:tcW w:w="8010" w:type="dxa"/>
            <w:vAlign w:val="center"/>
          </w:tcPr>
          <w:p w:rsidR="001C0DCA" w:rsidRPr="00B57543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B57543">
              <w:rPr>
                <w:rStyle w:val="Bodytext8pt"/>
                <w:rFonts w:ascii="HelveticaNeueLT Std" w:hAnsi="HelveticaNeueLT Std"/>
                <w:sz w:val="18"/>
              </w:rPr>
              <w:t>Almacenamiento y recuperación de un subconjunto de datos de la solicitud original e ingreso de dichos datos en archivos de retorno.</w:t>
            </w:r>
          </w:p>
        </w:tc>
      </w:tr>
      <w:tr w:rsidR="001C0DCA" w:rsidRPr="009C2F0C" w:rsidTr="009B20F9">
        <w:tc>
          <w:tcPr>
            <w:tcW w:w="2808" w:type="dxa"/>
          </w:tcPr>
          <w:p w:rsidR="001C0DCA" w:rsidRPr="009C2F0C" w:rsidRDefault="00697F08" w:rsidP="00D05EC9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 xml:space="preserve">Extensión de Notificaciones avanzadas de envío (ASN, </w:t>
            </w:r>
            <w:proofErr w:type="spellStart"/>
            <w:r w:rsidRPr="009C2F0C">
              <w:rPr>
                <w:rStyle w:val="Bodytext8pt"/>
                <w:rFonts w:ascii="HelveticaNeueLT Std" w:hAnsi="HelveticaNeueLT Std"/>
                <w:i/>
                <w:sz w:val="18"/>
              </w:rPr>
              <w:t>Advanced</w:t>
            </w:r>
            <w:proofErr w:type="spellEnd"/>
            <w:r w:rsidRPr="009C2F0C">
              <w:rPr>
                <w:rStyle w:val="Bodytext8pt"/>
                <w:rFonts w:ascii="HelveticaNeueLT Std" w:hAnsi="HelveticaNeueLT Std"/>
                <w:i/>
                <w:sz w:val="18"/>
              </w:rPr>
              <w:t xml:space="preserve"> </w:t>
            </w:r>
            <w:proofErr w:type="spellStart"/>
            <w:r w:rsidRPr="009C2F0C">
              <w:rPr>
                <w:rStyle w:val="Bodytext8pt"/>
                <w:rFonts w:ascii="HelveticaNeueLT Std" w:hAnsi="HelveticaNeueLT Std"/>
                <w:i/>
                <w:sz w:val="18"/>
              </w:rPr>
              <w:t>shipping</w:t>
            </w:r>
            <w:proofErr w:type="spellEnd"/>
            <w:r w:rsidRPr="009C2F0C">
              <w:rPr>
                <w:rStyle w:val="Bodytext8pt"/>
                <w:rFonts w:ascii="HelveticaNeueLT Std" w:hAnsi="HelveticaNeueLT Std"/>
                <w:i/>
                <w:sz w:val="18"/>
              </w:rPr>
              <w:t xml:space="preserve"> </w:t>
            </w:r>
            <w:proofErr w:type="spellStart"/>
            <w:r w:rsidRPr="009C2F0C">
              <w:rPr>
                <w:rStyle w:val="Bodytext8pt"/>
                <w:rFonts w:ascii="HelveticaNeueLT Std" w:hAnsi="HelveticaNeueLT Std"/>
                <w:i/>
                <w:sz w:val="18"/>
              </w:rPr>
              <w:t>notices</w:t>
            </w:r>
            <w:proofErr w:type="spellEnd"/>
            <w:r w:rsidRPr="009C2F0C">
              <w:rPr>
                <w:rStyle w:val="Bodytext8pt"/>
                <w:rFonts w:ascii="HelveticaNeueLT Std" w:hAnsi="HelveticaNeueLT Std"/>
                <w:sz w:val="18"/>
              </w:rPr>
              <w:t>)</w:t>
            </w:r>
          </w:p>
        </w:tc>
        <w:tc>
          <w:tcPr>
            <w:tcW w:w="8010" w:type="dxa"/>
          </w:tcPr>
          <w:p w:rsidR="001C0DCA" w:rsidRPr="009C2F0C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Permiso de recepción de información parcial sobre ASN a través de la Gestión de formularios electrónicos para ingresar información adicional, empaquetar productos y cumplir con los requisitos de los socios comerciales.</w:t>
            </w:r>
          </w:p>
        </w:tc>
      </w:tr>
      <w:tr w:rsidR="001C0DCA" w:rsidRPr="009C2F0C" w:rsidTr="009B20F9">
        <w:trPr>
          <w:trHeight w:val="648"/>
        </w:trPr>
        <w:tc>
          <w:tcPr>
            <w:tcW w:w="2808" w:type="dxa"/>
          </w:tcPr>
          <w:p w:rsidR="001C0DCA" w:rsidRPr="009C2F0C" w:rsidRDefault="00697F08" w:rsidP="009B20F9">
            <w:pPr>
              <w:pStyle w:val="BodyText3"/>
              <w:spacing w:before="1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Formato</w:t>
            </w:r>
          </w:p>
        </w:tc>
        <w:tc>
          <w:tcPr>
            <w:tcW w:w="8010" w:type="dxa"/>
          </w:tcPr>
          <w:p w:rsidR="001C0DCA" w:rsidRPr="009C2F0C" w:rsidRDefault="00697F08" w:rsidP="009B20F9">
            <w:pPr>
              <w:pStyle w:val="BodyText3"/>
              <w:spacing w:before="16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Modificaciones de los valores dentro de un campo de datos específico.</w:t>
            </w:r>
          </w:p>
        </w:tc>
      </w:tr>
      <w:tr w:rsidR="001C0DCA" w:rsidRPr="009C2F0C" w:rsidTr="009B20F9">
        <w:tc>
          <w:tcPr>
            <w:tcW w:w="2808" w:type="dxa"/>
            <w:tcBorders>
              <w:bottom w:val="dotted" w:sz="12" w:space="0" w:color="1FA9DF"/>
            </w:tcBorders>
          </w:tcPr>
          <w:p w:rsidR="001C0DCA" w:rsidRPr="009C2F0C" w:rsidRDefault="00697F08" w:rsidP="00D05EC9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Referencia cruzada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</w:tcPr>
          <w:p w:rsidR="001C0DCA" w:rsidRPr="009C2F0C" w:rsidRDefault="00697F08" w:rsidP="009B20F9">
            <w:pPr>
              <w:pStyle w:val="BodyText3"/>
              <w:spacing w:before="0" w:after="120" w:line="240" w:lineRule="auto"/>
              <w:ind w:right="144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 xml:space="preserve">Conversión de un valor a otro sin cambiar el significado comercial, donde el valor </w:t>
            </w:r>
            <w:r w:rsidR="00963CF9">
              <w:rPr>
                <w:rStyle w:val="Bodytext8pt"/>
                <w:rFonts w:ascii="HelveticaNeueLT Std" w:hAnsi="HelveticaNeueLT Std"/>
                <w:sz w:val="18"/>
              </w:rPr>
              <w:t>“</w:t>
            </w:r>
            <w:r w:rsidRPr="009C2F0C">
              <w:rPr>
                <w:rStyle w:val="Bodytext8pt"/>
                <w:rFonts w:ascii="HelveticaNeueLT Std" w:hAnsi="HelveticaNeueLT Std"/>
                <w:sz w:val="18"/>
              </w:rPr>
              <w:t>A</w:t>
            </w:r>
            <w:r w:rsidR="00963CF9">
              <w:rPr>
                <w:rStyle w:val="Bodytext8pt"/>
                <w:rFonts w:ascii="HelveticaNeueLT Std" w:hAnsi="HelveticaNeueLT Std"/>
                <w:sz w:val="18"/>
              </w:rPr>
              <w:t>”</w:t>
            </w:r>
            <w:r w:rsidRPr="009C2F0C">
              <w:rPr>
                <w:rStyle w:val="Bodytext8pt"/>
                <w:rFonts w:ascii="HelveticaNeueLT Std" w:hAnsi="HelveticaNeueLT Std"/>
                <w:sz w:val="18"/>
              </w:rPr>
              <w:t xml:space="preserve"> siempre es igual al valor </w:t>
            </w:r>
            <w:r w:rsidR="00963CF9">
              <w:rPr>
                <w:rStyle w:val="Bodytext8pt"/>
                <w:rFonts w:ascii="HelveticaNeueLT Std" w:hAnsi="HelveticaNeueLT Std"/>
                <w:sz w:val="18"/>
              </w:rPr>
              <w:t>“</w:t>
            </w:r>
            <w:r w:rsidRPr="009C2F0C">
              <w:rPr>
                <w:rStyle w:val="Bodytext8pt"/>
                <w:rFonts w:ascii="HelveticaNeueLT Std" w:hAnsi="HelveticaNeueLT Std"/>
                <w:sz w:val="18"/>
              </w:rPr>
              <w:t>B</w:t>
            </w:r>
            <w:r w:rsidR="00963CF9">
              <w:rPr>
                <w:rStyle w:val="Bodytext8pt"/>
                <w:rFonts w:ascii="HelveticaNeueLT Std" w:hAnsi="HelveticaNeueLT Std"/>
                <w:sz w:val="18"/>
              </w:rPr>
              <w:t>”</w:t>
            </w:r>
            <w:r w:rsidRPr="009C2F0C">
              <w:rPr>
                <w:rStyle w:val="Bodytext8pt"/>
                <w:rFonts w:ascii="HelveticaNeueLT Std" w:hAnsi="HelveticaNeueLT Std"/>
                <w:sz w:val="18"/>
              </w:rPr>
              <w:t>.</w:t>
            </w:r>
          </w:p>
        </w:tc>
      </w:tr>
      <w:tr w:rsidR="001C0DCA" w:rsidRPr="009C2F0C" w:rsidTr="009B20F9"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9C2F0C" w:rsidRDefault="00697F08" w:rsidP="00887C1F">
            <w:pPr>
              <w:pStyle w:val="BodyText3"/>
              <w:spacing w:before="12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5pt0"/>
                <w:rFonts w:ascii="HelveticaNeueLT Std" w:hAnsi="HelveticaNeueLT Std"/>
                <w:sz w:val="18"/>
              </w:rPr>
              <w:t>MODIFICACIONES DE LOS ARCHIVOS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9C2F0C" w:rsidRDefault="00697F08" w:rsidP="00887C1F">
            <w:pPr>
              <w:pStyle w:val="BodyText3"/>
              <w:spacing w:before="12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Manipulación de la estructura de los archivos sin modificar el contenido de los datos.</w:t>
            </w:r>
          </w:p>
        </w:tc>
      </w:tr>
      <w:tr w:rsidR="001C0DCA" w:rsidRPr="009C2F0C" w:rsidTr="009B20F9">
        <w:trPr>
          <w:trHeight w:val="576"/>
        </w:trPr>
        <w:tc>
          <w:tcPr>
            <w:tcW w:w="2808" w:type="dxa"/>
          </w:tcPr>
          <w:p w:rsidR="001C0DCA" w:rsidRPr="009C2F0C" w:rsidRDefault="00697F08" w:rsidP="00887C1F">
            <w:pPr>
              <w:pStyle w:val="BodyText3"/>
              <w:spacing w:before="15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División de los documentos</w:t>
            </w:r>
          </w:p>
        </w:tc>
        <w:tc>
          <w:tcPr>
            <w:tcW w:w="8010" w:type="dxa"/>
          </w:tcPr>
          <w:p w:rsidR="001C0DCA" w:rsidRPr="009C2F0C" w:rsidRDefault="00697F08" w:rsidP="00B57543">
            <w:pPr>
              <w:pStyle w:val="BodyText3"/>
              <w:spacing w:before="15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Creación de múltiples documentos a partir de un documento sobre la base de criterios definidos, o separación de un solo archivo en múltiples partes sobre la base de un criterio definido.</w:t>
            </w:r>
          </w:p>
        </w:tc>
      </w:tr>
      <w:tr w:rsidR="001C0DCA" w:rsidRPr="009C2F0C" w:rsidTr="009B20F9">
        <w:trPr>
          <w:trHeight w:val="504"/>
        </w:trPr>
        <w:tc>
          <w:tcPr>
            <w:tcW w:w="2808" w:type="dxa"/>
            <w:tcBorders>
              <w:bottom w:val="dotted" w:sz="12" w:space="0" w:color="1FA9DF"/>
            </w:tcBorders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Consolidación de las ASN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  <w:vAlign w:val="center"/>
          </w:tcPr>
          <w:p w:rsidR="001C0DCA" w:rsidRPr="009C2F0C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Unión de varios documentos de envío en un único archivo sobre la base de criterios definidos.</w:t>
            </w:r>
          </w:p>
        </w:tc>
      </w:tr>
      <w:tr w:rsidR="001C0DCA" w:rsidRPr="009C2F0C" w:rsidTr="009B20F9">
        <w:trPr>
          <w:trHeight w:val="432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9C2F0C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5pt0"/>
                <w:rFonts w:ascii="HelveticaNeueLT Std" w:hAnsi="HelveticaNeueLT Std"/>
                <w:sz w:val="18"/>
              </w:rPr>
              <w:t>MODIFICACIONES DE LOS DATOS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9C2F0C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Modificación de los valores de datos mediante el uso de reglas comerciales o criterios, si los hay.</w:t>
            </w:r>
          </w:p>
        </w:tc>
      </w:tr>
      <w:tr w:rsidR="001C0DCA" w:rsidRPr="009C2F0C" w:rsidTr="009B20F9">
        <w:trPr>
          <w:trHeight w:val="315"/>
        </w:trPr>
        <w:tc>
          <w:tcPr>
            <w:tcW w:w="2808" w:type="dxa"/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Combinación/Separación</w:t>
            </w:r>
          </w:p>
        </w:tc>
        <w:tc>
          <w:tcPr>
            <w:tcW w:w="8010" w:type="dxa"/>
            <w:vAlign w:val="center"/>
          </w:tcPr>
          <w:p w:rsidR="001C0DCA" w:rsidRPr="00B57543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B57543">
              <w:rPr>
                <w:rStyle w:val="Bodytext8pt"/>
                <w:rFonts w:ascii="HelveticaNeueLT Std" w:hAnsi="HelveticaNeueLT Std"/>
                <w:sz w:val="18"/>
              </w:rPr>
              <w:t>Combinación de elementos de datos en un solo campo o separación de un solo campo en varios elementos.</w:t>
            </w:r>
          </w:p>
        </w:tc>
      </w:tr>
      <w:tr w:rsidR="001C0DCA" w:rsidRPr="009C2F0C" w:rsidTr="009B20F9">
        <w:trPr>
          <w:trHeight w:val="387"/>
        </w:trPr>
        <w:tc>
          <w:tcPr>
            <w:tcW w:w="2808" w:type="dxa"/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Reglas de datos</w:t>
            </w:r>
          </w:p>
        </w:tc>
        <w:tc>
          <w:tcPr>
            <w:tcW w:w="8010" w:type="dxa"/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Modificación de campos de datos o lógica para calcular datos específicos.</w:t>
            </w:r>
          </w:p>
        </w:tc>
      </w:tr>
      <w:tr w:rsidR="001C0DCA" w:rsidRPr="009C2F0C" w:rsidTr="009B20F9">
        <w:trPr>
          <w:trHeight w:val="252"/>
        </w:trPr>
        <w:tc>
          <w:tcPr>
            <w:tcW w:w="2808" w:type="dxa"/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Reglas fiscales</w:t>
            </w:r>
          </w:p>
        </w:tc>
        <w:tc>
          <w:tcPr>
            <w:tcW w:w="8010" w:type="dxa"/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Cálculos sobre códigos y montos fiscales.</w:t>
            </w:r>
          </w:p>
        </w:tc>
      </w:tr>
      <w:tr w:rsidR="001C0DCA" w:rsidRPr="009C2F0C" w:rsidTr="009B20F9">
        <w:trPr>
          <w:trHeight w:val="360"/>
        </w:trPr>
        <w:tc>
          <w:tcPr>
            <w:tcW w:w="2808" w:type="dxa"/>
            <w:tcBorders>
              <w:bottom w:val="dotted" w:sz="12" w:space="0" w:color="1FA9DF"/>
            </w:tcBorders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Reglas de precios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  <w:vAlign w:val="center"/>
          </w:tcPr>
          <w:p w:rsidR="001C0DCA" w:rsidRPr="009C2F0C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9C2F0C">
              <w:rPr>
                <w:rStyle w:val="Bodytext8pt"/>
                <w:rFonts w:ascii="HelveticaNeueLT Std" w:hAnsi="HelveticaNeueLT Std"/>
                <w:sz w:val="18"/>
              </w:rPr>
              <w:t>Cálculos sobre valores y sumas de precios.</w:t>
            </w:r>
          </w:p>
        </w:tc>
      </w:tr>
    </w:tbl>
    <w:p w:rsidR="001C0DCA" w:rsidRPr="008C1BBD" w:rsidRDefault="00697F08" w:rsidP="008C1BBD">
      <w:pPr>
        <w:rPr>
          <w:rFonts w:ascii="Helvetica" w:hAnsi="Helvetica"/>
          <w:sz w:val="16"/>
          <w:szCs w:val="16"/>
        </w:rPr>
      </w:pPr>
      <w:r w:rsidRPr="008C1BBD">
        <w:rPr>
          <w:rStyle w:val="Tablecaption1"/>
          <w:rFonts w:ascii="Helvetica" w:hAnsi="Helvetica"/>
        </w:rPr>
        <w:t>No todos los módulos se aplican a todas las soluciones y</w:t>
      </w:r>
      <w:r w:rsidRPr="008C1BBD">
        <w:rPr>
          <w:rFonts w:ascii="Helvetica" w:hAnsi="Helvetica"/>
          <w:noProof/>
          <w:sz w:val="16"/>
          <w:szCs w:val="16"/>
        </w:rPr>
        <w:t xml:space="preserve"> se discutirán en más detalle durante la fase de diseño en la implementación.</w:t>
      </w:r>
      <w:r w:rsidR="008C1BBD" w:rsidRPr="008C1BBD">
        <w:rPr>
          <w:rFonts w:ascii="Helvetica" w:hAnsi="Helvetica"/>
          <w:sz w:val="16"/>
          <w:szCs w:val="16"/>
        </w:rPr>
        <w:t xml:space="preserve"> </w:t>
      </w:r>
      <w:r w:rsidR="008C1BBD" w:rsidRPr="008C1BBD">
        <w:rPr>
          <w:rFonts w:ascii="Helvetica" w:hAnsi="Helvetica"/>
          <w:sz w:val="16"/>
          <w:szCs w:val="16"/>
        </w:rPr>
        <w:t>En el caso de que se presenten incoherencias o discrepancias entre la versión en inglés y cualquier otra versión de este Acuerdo, prevalecerá la versión en inglés.</w:t>
      </w:r>
      <w:bookmarkStart w:id="0" w:name="_GoBack"/>
      <w:bookmarkEnd w:id="0"/>
    </w:p>
    <w:sectPr w:rsidR="001C0DCA" w:rsidRPr="008C1BBD" w:rsidSect="00887C1F">
      <w:headerReference w:type="default" r:id="rId7"/>
      <w:footerReference w:type="default" r:id="rId8"/>
      <w:type w:val="continuous"/>
      <w:pgSz w:w="12240" w:h="15840"/>
      <w:pgMar w:top="747" w:right="0" w:bottom="1339" w:left="720" w:header="0" w:footer="5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93" w:rsidRDefault="003D5B93">
      <w:r>
        <w:separator/>
      </w:r>
    </w:p>
  </w:endnote>
  <w:endnote w:type="continuationSeparator" w:id="0">
    <w:p w:rsidR="003D5B93" w:rsidRDefault="003D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1F" w:rsidRPr="000C7D69" w:rsidRDefault="00887C1F" w:rsidP="00887C1F">
    <w:pPr>
      <w:pStyle w:val="Footer"/>
      <w:tabs>
        <w:tab w:val="clear" w:pos="4680"/>
        <w:tab w:val="clear" w:pos="9360"/>
        <w:tab w:val="left" w:pos="3258"/>
        <w:tab w:val="left" w:pos="7272"/>
        <w:tab w:val="left" w:pos="7452"/>
        <w:tab w:val="left" w:pos="9882"/>
      </w:tabs>
      <w:jc w:val="both"/>
      <w:rPr>
        <w:rFonts w:ascii="HelveticaNeueLT Std Ext" w:hAnsi="HelveticaNeueLT Std Ext"/>
        <w:color w:val="auto"/>
        <w:sz w:val="15"/>
        <w:szCs w:val="15"/>
        <w:lang w:val="en-US"/>
      </w:rPr>
    </w:pPr>
    <w:r w:rsidRPr="000C7D69">
      <w:rPr>
        <w:rFonts w:ascii="HelveticaNeueLT Std Ext" w:hAnsi="HelveticaNeueLT Std Ext"/>
        <w:sz w:val="14"/>
        <w:lang w:val="en-US"/>
      </w:rPr>
      <w:t>SPS COMMERCE, INC. | P. 612-435-9400 |</w:t>
    </w:r>
    <w:r w:rsidRPr="000C7D69">
      <w:rPr>
        <w:lang w:val="en-US"/>
      </w:rPr>
      <w:tab/>
    </w:r>
    <w:r w:rsidRPr="000C7D69">
      <w:rPr>
        <w:rFonts w:ascii="HelveticaNeueLT Std Ext" w:hAnsi="HelveticaNeueLT Std Ext"/>
        <w:sz w:val="14"/>
        <w:lang w:val="en-US"/>
      </w:rPr>
      <w:t>333 South 7th St., Suite 1000, Minneapolis, MN 55402</w:t>
    </w:r>
    <w:r w:rsidRPr="000C7D69">
      <w:rPr>
        <w:lang w:val="en-US"/>
      </w:rPr>
      <w:tab/>
    </w:r>
    <w:r w:rsidRPr="000C7D69">
      <w:rPr>
        <w:rFonts w:ascii="HelveticaNeueLT Std Ext" w:hAnsi="HelveticaNeueLT Std Ext"/>
        <w:sz w:val="14"/>
        <w:lang w:val="en-US"/>
      </w:rPr>
      <w:t>|</w:t>
    </w:r>
    <w:r w:rsidRPr="000C7D69">
      <w:rPr>
        <w:lang w:val="en-US"/>
      </w:rPr>
      <w:tab/>
    </w:r>
    <w:r w:rsidRPr="000C7D69">
      <w:rPr>
        <w:rFonts w:ascii="HelveticaNeueLT Std Ext" w:hAnsi="HelveticaNeueLT Std Ext"/>
        <w:color w:val="1FA9DF"/>
        <w:sz w:val="14"/>
        <w:lang w:val="en-US"/>
      </w:rPr>
      <w:t>spscommerce.com</w:t>
    </w:r>
    <w:r w:rsidRPr="000C7D69">
      <w:rPr>
        <w:lang w:val="en-US"/>
      </w:rPr>
      <w:tab/>
    </w:r>
    <w:r w:rsidRPr="000C7D69">
      <w:rPr>
        <w:rFonts w:ascii="HelveticaNeueLT Std Ext" w:hAnsi="HelveticaNeueLT Std Ext"/>
        <w:color w:val="auto"/>
        <w:sz w:val="15"/>
        <w:lang w:val="en-US"/>
      </w:rPr>
      <w:t>2015DEC02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93" w:rsidRDefault="003D5B93"/>
  </w:footnote>
  <w:footnote w:type="continuationSeparator" w:id="0">
    <w:p w:rsidR="003D5B93" w:rsidRDefault="003D5B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30" w:rsidRDefault="005D3730">
    <w:pPr>
      <w:pStyle w:val="Header"/>
    </w:pPr>
    <w:r>
      <w:rPr>
        <w:noProof/>
        <w:sz w:val="2"/>
        <w:szCs w:val="2"/>
        <w:lang w:val="en-US" w:eastAsia="en-US" w:bidi="ar-SA"/>
      </w:rPr>
      <w:drawing>
        <wp:anchor distT="0" distB="0" distL="114300" distR="114300" simplePos="0" relativeHeight="251659264" behindDoc="1" locked="0" layoutInCell="0" allowOverlap="0" wp14:anchorId="08698BD3" wp14:editId="5425D71F">
          <wp:simplePos x="0" y="0"/>
          <wp:positionH relativeFrom="column">
            <wp:posOffset>-458800</wp:posOffset>
          </wp:positionH>
          <wp:positionV relativeFrom="page">
            <wp:posOffset>3175</wp:posOffset>
          </wp:positionV>
          <wp:extent cx="7772400" cy="10058400"/>
          <wp:effectExtent l="0" t="0" r="0" b="0"/>
          <wp:wrapNone/>
          <wp:docPr id="1" name="Picture 1" descr="D:\Mahe\19.05.2017\377102 - United Language Group - English to Multi\Pages from CEP-Plan-Definitions_Page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he\19.05.2017\377102 - United Language Group - English to Multi\Pages from CEP-Plan-Definitions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0DCA"/>
    <w:rsid w:val="000C7D69"/>
    <w:rsid w:val="000F4F4B"/>
    <w:rsid w:val="001C0DCA"/>
    <w:rsid w:val="001D6BCB"/>
    <w:rsid w:val="002052FC"/>
    <w:rsid w:val="00216E7D"/>
    <w:rsid w:val="002B6AE2"/>
    <w:rsid w:val="003348B4"/>
    <w:rsid w:val="003A2F55"/>
    <w:rsid w:val="003D5B93"/>
    <w:rsid w:val="00462A21"/>
    <w:rsid w:val="00476660"/>
    <w:rsid w:val="0051070C"/>
    <w:rsid w:val="005D3730"/>
    <w:rsid w:val="00677070"/>
    <w:rsid w:val="00697F08"/>
    <w:rsid w:val="00862770"/>
    <w:rsid w:val="00887C1F"/>
    <w:rsid w:val="008B0131"/>
    <w:rsid w:val="008C1BBD"/>
    <w:rsid w:val="00940A83"/>
    <w:rsid w:val="00963CF9"/>
    <w:rsid w:val="009B20F9"/>
    <w:rsid w:val="009C2F0C"/>
    <w:rsid w:val="00A346D3"/>
    <w:rsid w:val="00B12F8F"/>
    <w:rsid w:val="00B57543"/>
    <w:rsid w:val="00BE7E49"/>
    <w:rsid w:val="00D05EC9"/>
    <w:rsid w:val="00F1068D"/>
    <w:rsid w:val="00F276FB"/>
    <w:rsid w:val="00F858FB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MX" w:eastAsia="es-MX" w:bidi="es-MX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2Exact0">
    <w:name w:val="Body text (2) Exact"/>
    <w:basedOn w:val="Bodytext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3"/>
      <w:w w:val="100"/>
      <w:position w:val="0"/>
      <w:sz w:val="14"/>
      <w:szCs w:val="14"/>
      <w:u w:val="none"/>
      <w:lang w:val="es-MX" w:eastAsia="es-MX" w:bidi="es-MX"/>
    </w:rPr>
  </w:style>
  <w:style w:type="character" w:customStyle="1" w:styleId="Bodytext">
    <w:name w:val="Body text_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pt">
    <w:name w:val="Body text + 9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MX" w:eastAsia="es-MX" w:bidi="es-MX"/>
    </w:rPr>
  </w:style>
  <w:style w:type="character" w:customStyle="1" w:styleId="Bodytext23pt">
    <w:name w:val="Body text + 23 pt"/>
    <w:aliases w:val="Bold,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es-MX" w:eastAsia="es-MX" w:bidi="es-MX"/>
    </w:rPr>
  </w:style>
  <w:style w:type="character" w:customStyle="1" w:styleId="Bodytext18pt">
    <w:name w:val="Body text + 18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MX" w:eastAsia="es-MX" w:bidi="es-MX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s-MX" w:eastAsia="es-MX" w:bidi="es-MX"/>
    </w:rPr>
  </w:style>
  <w:style w:type="character" w:customStyle="1" w:styleId="Bodytext85pt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MX" w:eastAsia="es-MX" w:bidi="es-MX"/>
    </w:rPr>
  </w:style>
  <w:style w:type="character" w:customStyle="1" w:styleId="Bodytext85pt0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7"/>
      <w:szCs w:val="17"/>
      <w:u w:val="none"/>
      <w:lang w:val="es-MX" w:eastAsia="es-MX" w:bidi="es-MX"/>
    </w:rPr>
  </w:style>
  <w:style w:type="character" w:customStyle="1" w:styleId="Bodytext8pt">
    <w:name w:val="Body text + 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s-MX" w:eastAsia="es-MX" w:bidi="es-MX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es-MX" w:eastAsia="es-MX" w:bidi="es-MX"/>
    </w:rPr>
  </w:style>
  <w:style w:type="character" w:customStyle="1" w:styleId="BodyText20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5ABDC"/>
      <w:spacing w:val="0"/>
      <w:w w:val="100"/>
      <w:position w:val="0"/>
      <w:sz w:val="12"/>
      <w:szCs w:val="12"/>
      <w:u w:val="none"/>
      <w:lang w:val="es-MX" w:eastAsia="es-MX" w:bidi="es-MX"/>
    </w:rPr>
  </w:style>
  <w:style w:type="paragraph" w:customStyle="1" w:styleId="Bodytext2">
    <w:name w:val="Body text (2)"/>
    <w:basedOn w:val="Normal"/>
    <w:link w:val="Bodytext2Exact"/>
    <w:pPr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BodyText3">
    <w:name w:val="Body Text3"/>
    <w:basedOn w:val="Normal"/>
    <w:link w:val="Bodytext"/>
    <w:pPr>
      <w:spacing w:before="180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pPr>
      <w:spacing w:line="0" w:lineRule="atLeas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1F"/>
    <w:rPr>
      <w:color w:val="000000"/>
    </w:rPr>
  </w:style>
  <w:style w:type="paragraph" w:styleId="Revision">
    <w:name w:val="Revision"/>
    <w:hidden/>
    <w:uiPriority w:val="99"/>
    <w:semiHidden/>
    <w:rsid w:val="009C2F0C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MX" w:eastAsia="es-MX" w:bidi="es-MX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2Exact0">
    <w:name w:val="Body text (2) Exact"/>
    <w:basedOn w:val="Bodytext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3"/>
      <w:w w:val="100"/>
      <w:position w:val="0"/>
      <w:sz w:val="14"/>
      <w:szCs w:val="14"/>
      <w:u w:val="none"/>
      <w:lang w:val="es-MX" w:eastAsia="es-MX" w:bidi="es-MX"/>
    </w:rPr>
  </w:style>
  <w:style w:type="character" w:customStyle="1" w:styleId="Bodytext">
    <w:name w:val="Body text_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pt">
    <w:name w:val="Body text + 9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MX" w:eastAsia="es-MX" w:bidi="es-MX"/>
    </w:rPr>
  </w:style>
  <w:style w:type="character" w:customStyle="1" w:styleId="Bodytext23pt">
    <w:name w:val="Body text + 23 pt"/>
    <w:aliases w:val="Bold,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es-MX" w:eastAsia="es-MX" w:bidi="es-MX"/>
    </w:rPr>
  </w:style>
  <w:style w:type="character" w:customStyle="1" w:styleId="Bodytext18pt">
    <w:name w:val="Body text + 18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MX" w:eastAsia="es-MX" w:bidi="es-MX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s-MX" w:eastAsia="es-MX" w:bidi="es-MX"/>
    </w:rPr>
  </w:style>
  <w:style w:type="character" w:customStyle="1" w:styleId="Bodytext85pt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MX" w:eastAsia="es-MX" w:bidi="es-MX"/>
    </w:rPr>
  </w:style>
  <w:style w:type="character" w:customStyle="1" w:styleId="Bodytext85pt0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7"/>
      <w:szCs w:val="17"/>
      <w:u w:val="none"/>
      <w:lang w:val="es-MX" w:eastAsia="es-MX" w:bidi="es-MX"/>
    </w:rPr>
  </w:style>
  <w:style w:type="character" w:customStyle="1" w:styleId="Bodytext8pt">
    <w:name w:val="Body text + 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s-MX" w:eastAsia="es-MX" w:bidi="es-MX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es-MX" w:eastAsia="es-MX" w:bidi="es-MX"/>
    </w:rPr>
  </w:style>
  <w:style w:type="character" w:customStyle="1" w:styleId="BodyText20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5ABDC"/>
      <w:spacing w:val="0"/>
      <w:w w:val="100"/>
      <w:position w:val="0"/>
      <w:sz w:val="12"/>
      <w:szCs w:val="12"/>
      <w:u w:val="none"/>
      <w:lang w:val="es-MX" w:eastAsia="es-MX" w:bidi="es-MX"/>
    </w:rPr>
  </w:style>
  <w:style w:type="paragraph" w:customStyle="1" w:styleId="Bodytext2">
    <w:name w:val="Body text (2)"/>
    <w:basedOn w:val="Normal"/>
    <w:link w:val="Bodytext2Exact"/>
    <w:pPr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BodyText3">
    <w:name w:val="Body Text3"/>
    <w:basedOn w:val="Normal"/>
    <w:link w:val="Bodytext"/>
    <w:pPr>
      <w:spacing w:before="180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pPr>
      <w:spacing w:line="0" w:lineRule="atLeas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1F"/>
    <w:rPr>
      <w:color w:val="000000"/>
    </w:rPr>
  </w:style>
  <w:style w:type="paragraph" w:styleId="Revision">
    <w:name w:val="Revision"/>
    <w:hidden/>
    <w:uiPriority w:val="99"/>
    <w:semiHidden/>
    <w:rsid w:val="009C2F0C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Communications, LLC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Welkyn user04</dc:creator>
  <cp:lastModifiedBy>Joe Selinski</cp:lastModifiedBy>
  <cp:revision>2</cp:revision>
  <cp:lastPrinted>2017-05-19T17:38:00Z</cp:lastPrinted>
  <dcterms:created xsi:type="dcterms:W3CDTF">2017-06-22T17:45:00Z</dcterms:created>
  <dcterms:modified xsi:type="dcterms:W3CDTF">2017-06-22T17:45:00Z</dcterms:modified>
</cp:coreProperties>
</file>