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1"/>
        <w:gridCol w:w="2189"/>
      </w:tblGrid>
      <w:tr w:rsidR="001C0DCA" w:rsidRPr="006905A2" w:rsidTr="00862770">
        <w:trPr>
          <w:cantSplit/>
        </w:trPr>
        <w:tc>
          <w:tcPr>
            <w:tcW w:w="8621" w:type="dxa"/>
            <w:vAlign w:val="bottom"/>
          </w:tcPr>
          <w:p w:rsidR="001C0DCA" w:rsidRPr="006905A2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9"/>
                <w:szCs w:val="49"/>
              </w:rPr>
            </w:pPr>
            <w:r w:rsidRPr="006905A2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RÉSEAU UNIVERSAL</w:t>
            </w:r>
          </w:p>
        </w:tc>
        <w:tc>
          <w:tcPr>
            <w:tcW w:w="2189" w:type="dxa"/>
          </w:tcPr>
          <w:p w:rsidR="001C0DCA" w:rsidRPr="006905A2" w:rsidRDefault="001C0DCA" w:rsidP="00A346D3">
            <w:pPr>
              <w:rPr>
                <w:sz w:val="10"/>
                <w:szCs w:val="10"/>
              </w:rPr>
            </w:pPr>
          </w:p>
        </w:tc>
      </w:tr>
      <w:tr w:rsidR="001C0DCA" w:rsidRPr="006905A2" w:rsidTr="00862770">
        <w:trPr>
          <w:cantSplit/>
        </w:trPr>
        <w:tc>
          <w:tcPr>
            <w:tcW w:w="8621" w:type="dxa"/>
          </w:tcPr>
          <w:p w:rsidR="001C0DCA" w:rsidRPr="006905A2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9"/>
                <w:szCs w:val="49"/>
              </w:rPr>
            </w:pPr>
            <w:r w:rsidRPr="006905A2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SERVICE INTÉGRÉ D</w:t>
            </w:r>
            <w:r w:rsidR="00DF63E3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’</w:t>
            </w:r>
            <w:r w:rsidRPr="006905A2">
              <w:rPr>
                <w:rStyle w:val="Bodytext23pt"/>
                <w:b w:val="0"/>
                <w:color w:val="FFFFFF" w:themeColor="background1"/>
                <w:spacing w:val="0"/>
                <w:sz w:val="49"/>
              </w:rPr>
              <w:t>EXÉCUTION DE COMMANDES</w:t>
            </w:r>
          </w:p>
        </w:tc>
        <w:tc>
          <w:tcPr>
            <w:tcW w:w="2189" w:type="dxa"/>
          </w:tcPr>
          <w:p w:rsidR="001C0DCA" w:rsidRPr="006905A2" w:rsidRDefault="001C0DCA" w:rsidP="00A346D3">
            <w:pPr>
              <w:rPr>
                <w:sz w:val="10"/>
                <w:szCs w:val="10"/>
              </w:rPr>
            </w:pPr>
          </w:p>
        </w:tc>
      </w:tr>
      <w:tr w:rsidR="001C0DCA" w:rsidRPr="006905A2" w:rsidTr="00FA60D0">
        <w:trPr>
          <w:cantSplit/>
          <w:trHeight w:val="198"/>
        </w:trPr>
        <w:tc>
          <w:tcPr>
            <w:tcW w:w="8621" w:type="dxa"/>
          </w:tcPr>
          <w:p w:rsidR="001C0DCA" w:rsidRPr="006905A2" w:rsidRDefault="00697F08" w:rsidP="009B20F9">
            <w:pPr>
              <w:pStyle w:val="BodyText3"/>
              <w:spacing w:before="0" w:line="240" w:lineRule="auto"/>
              <w:jc w:val="left"/>
              <w:rPr>
                <w:b/>
                <w:color w:val="FFFFFF" w:themeColor="background1"/>
                <w:sz w:val="40"/>
                <w:szCs w:val="40"/>
              </w:rPr>
            </w:pPr>
            <w:r w:rsidRPr="006905A2">
              <w:rPr>
                <w:rStyle w:val="Bodytext18pt"/>
                <w:b w:val="0"/>
                <w:color w:val="FFFFFF" w:themeColor="background1"/>
                <w:sz w:val="40"/>
              </w:rPr>
              <w:t>Définitions des modules de réseau</w:t>
            </w:r>
          </w:p>
        </w:tc>
        <w:tc>
          <w:tcPr>
            <w:tcW w:w="2189" w:type="dxa"/>
          </w:tcPr>
          <w:p w:rsidR="001C0DCA" w:rsidRPr="006905A2" w:rsidRDefault="001C0DCA" w:rsidP="00A346D3">
            <w:pPr>
              <w:rPr>
                <w:sz w:val="10"/>
                <w:szCs w:val="10"/>
              </w:rPr>
            </w:pPr>
          </w:p>
        </w:tc>
      </w:tr>
    </w:tbl>
    <w:p w:rsidR="001C0DCA" w:rsidRPr="006905A2" w:rsidRDefault="001C0DCA" w:rsidP="00A346D3">
      <w:pPr>
        <w:rPr>
          <w:rFonts w:ascii="Arial" w:hAnsi="Arial" w:cs="Arial"/>
        </w:rPr>
      </w:pPr>
    </w:p>
    <w:p w:rsidR="002052FC" w:rsidRPr="006905A2" w:rsidRDefault="002052FC" w:rsidP="00A346D3">
      <w:pPr>
        <w:rPr>
          <w:rFonts w:ascii="Arial" w:hAnsi="Arial" w:cs="Arial"/>
          <w:sz w:val="12"/>
          <w:szCs w:val="10"/>
        </w:rPr>
      </w:pPr>
    </w:p>
    <w:tbl>
      <w:tblPr>
        <w:tblOverlap w:val="never"/>
        <w:tblW w:w="0" w:type="auto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08"/>
        <w:gridCol w:w="8010"/>
      </w:tblGrid>
      <w:tr w:rsidR="001C0DCA" w:rsidRPr="006905A2" w:rsidTr="009B20F9">
        <w:trPr>
          <w:trHeight w:val="331"/>
        </w:trPr>
        <w:tc>
          <w:tcPr>
            <w:tcW w:w="2808" w:type="dxa"/>
            <w:shd w:val="clear" w:color="auto" w:fill="1FA9DF"/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6905A2">
              <w:rPr>
                <w:rStyle w:val="Bodytext85pt"/>
                <w:rFonts w:ascii="HelveticaNeueLT Std" w:hAnsi="HelveticaNeueLT Std"/>
                <w:color w:val="FFFFFF" w:themeColor="background1"/>
                <w:sz w:val="20"/>
              </w:rPr>
              <w:t>Modules</w:t>
            </w:r>
            <w:bookmarkStart w:id="0" w:name="_GoBack"/>
            <w:bookmarkEnd w:id="0"/>
          </w:p>
        </w:tc>
        <w:tc>
          <w:tcPr>
            <w:tcW w:w="8010" w:type="dxa"/>
            <w:shd w:val="clear" w:color="auto" w:fill="1FA9DF"/>
            <w:vAlign w:val="center"/>
          </w:tcPr>
          <w:p w:rsidR="001C0DCA" w:rsidRPr="006905A2" w:rsidRDefault="00D05EC9" w:rsidP="00D05EC9">
            <w:pPr>
              <w:pStyle w:val="BodyText3"/>
              <w:spacing w:before="0" w:line="240" w:lineRule="auto"/>
              <w:jc w:val="center"/>
              <w:rPr>
                <w:rFonts w:ascii="HelveticaNeueLT Std" w:hAnsi="HelveticaNeueLT Std"/>
                <w:color w:val="FFFFFF" w:themeColor="background1"/>
                <w:sz w:val="20"/>
                <w:szCs w:val="20"/>
              </w:rPr>
            </w:pPr>
            <w:r w:rsidRPr="006905A2">
              <w:rPr>
                <w:rStyle w:val="Bodytext85pt"/>
                <w:rFonts w:ascii="HelveticaNeueLT Std" w:hAnsi="HelveticaNeueLT Std"/>
                <w:color w:val="FFFFFF" w:themeColor="background1"/>
                <w:sz w:val="20"/>
              </w:rPr>
              <w:t>Définition</w:t>
            </w:r>
          </w:p>
        </w:tc>
      </w:tr>
      <w:tr w:rsidR="001C0DCA" w:rsidRPr="006905A2" w:rsidTr="009B20F9">
        <w:trPr>
          <w:trHeight w:val="475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5pt0"/>
                <w:rFonts w:ascii="HelveticaNeueLT Std" w:hAnsi="HelveticaNeueLT Std"/>
                <w:sz w:val="18"/>
              </w:rPr>
              <w:t>CARTE DE SYSTÈME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Carte créée selon les spécifications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un client, non réutilisable sur l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ensemble du réseau.</w:t>
            </w:r>
          </w:p>
        </w:tc>
      </w:tr>
      <w:tr w:rsidR="001C0DCA" w:rsidRPr="006905A2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5pt0"/>
                <w:rFonts w:ascii="HelveticaNeueLT Std" w:hAnsi="HelveticaNeueLT Std"/>
                <w:sz w:val="18"/>
              </w:rPr>
              <w:t>GESTION D</w:t>
            </w:r>
            <w:r w:rsidR="00DF63E3">
              <w:rPr>
                <w:rStyle w:val="Bodytext85pt0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5pt0"/>
                <w:rFonts w:ascii="HelveticaNeueLT Std" w:hAnsi="HelveticaNeueLT Std"/>
                <w:sz w:val="18"/>
              </w:rPr>
              <w:t>ITEMS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Gestion des informations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(p. ex. codes SKU, CUP, GTIN).</w:t>
            </w:r>
          </w:p>
        </w:tc>
      </w:tr>
      <w:tr w:rsidR="001C0DCA" w:rsidRPr="006905A2" w:rsidTr="009B20F9">
        <w:trPr>
          <w:trHeight w:val="806"/>
        </w:trPr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6905A2" w:rsidRDefault="00697F08" w:rsidP="009B20F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Référence croisée des items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6905A2" w:rsidRDefault="00697F08" w:rsidP="00D05EC9">
            <w:pPr>
              <w:pStyle w:val="BodyText3"/>
              <w:spacing w:before="6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Gestion des numéros de pièces associés à une relation de partenaire commercial, avec conservation de toutes les données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dans le référentiel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SPS et exécution de recherches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au moyen de clés définies, ainsi qu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ajout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informations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supplémentaires dans les champs de données (avec nombre illimité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items).</w:t>
            </w:r>
          </w:p>
        </w:tc>
      </w:tr>
      <w:tr w:rsidR="001C0DCA" w:rsidRPr="006905A2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5pt0"/>
                <w:rFonts w:ascii="HelveticaNeueLT Std" w:hAnsi="HelveticaNeueLT Std"/>
                <w:sz w:val="18"/>
              </w:rPr>
              <w:t>GESTION DES EMPLACEMENTS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Maintenance des données des emplacements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expédition.</w:t>
            </w:r>
          </w:p>
        </w:tc>
      </w:tr>
      <w:tr w:rsidR="001C0DCA" w:rsidRPr="006905A2" w:rsidTr="009B20F9">
        <w:tc>
          <w:tcPr>
            <w:tcW w:w="2808" w:type="dxa"/>
          </w:tcPr>
          <w:p w:rsidR="001C0DCA" w:rsidRPr="006905A2" w:rsidRDefault="00697F08" w:rsidP="00D05EC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Registre central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emplacements</w:t>
            </w:r>
          </w:p>
        </w:tc>
        <w:tc>
          <w:tcPr>
            <w:tcW w:w="8010" w:type="dxa"/>
          </w:tcPr>
          <w:p w:rsidR="001C0DCA" w:rsidRPr="006905A2" w:rsidRDefault="00697F08" w:rsidP="00D05EC9">
            <w:pPr>
              <w:pStyle w:val="BodyText3"/>
              <w:spacing w:before="60" w:after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Ajout de l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adresse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expédition lorsqu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une commande indique seulement un numéro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emplacement, en supposant que l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auteur de la commande a une liste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adresses publiées.</w:t>
            </w:r>
          </w:p>
        </w:tc>
      </w:tr>
      <w:tr w:rsidR="001C0DCA" w:rsidRPr="006905A2" w:rsidTr="009B20F9"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6905A2" w:rsidRDefault="00697F08" w:rsidP="00D05EC9">
            <w:pPr>
              <w:pStyle w:val="BodyText3"/>
              <w:spacing w:before="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Référence croisée des emplacements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6905A2" w:rsidRDefault="00697F08" w:rsidP="009B20F9">
            <w:pPr>
              <w:pStyle w:val="BodyText3"/>
              <w:spacing w:before="60" w:after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Gestion des numéros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 associés à une relation de partenaire commercial, avec conservation de toutes les données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 dans le référentiel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items SPS et exécution de recherches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emplacements au moyen de clés définies, ainsi qu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ajout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informations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emplacements supplémentaires dans les champs de données.</w:t>
            </w:r>
          </w:p>
        </w:tc>
      </w:tr>
      <w:tr w:rsidR="001C0DCA" w:rsidRPr="006905A2" w:rsidTr="009B20F9">
        <w:trPr>
          <w:trHeight w:val="357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5pt0"/>
                <w:rFonts w:ascii="HelveticaNeueLT Std" w:hAnsi="HelveticaNeueLT Std"/>
                <w:sz w:val="18"/>
              </w:rPr>
              <w:t>GESTION DES DONNÉES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6905A2" w:rsidRDefault="00697F08" w:rsidP="00D05EC9">
            <w:pPr>
              <w:pStyle w:val="BodyText3"/>
              <w:spacing w:before="10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Modification du contenu et/ou de la structure des données, généralement en changeant la valeur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6905A2">
              <w:rPr>
                <w:rStyle w:val="Bodytext8pt"/>
                <w:rFonts w:ascii="HelveticaNeueLT Std" w:hAnsi="HelveticaNeueLT Std"/>
                <w:sz w:val="18"/>
              </w:rPr>
              <w:t>origine.</w:t>
            </w:r>
          </w:p>
        </w:tc>
      </w:tr>
      <w:tr w:rsidR="001C0DCA" w:rsidRPr="00222B98" w:rsidTr="009B20F9">
        <w:trPr>
          <w:trHeight w:val="533"/>
        </w:trPr>
        <w:tc>
          <w:tcPr>
            <w:tcW w:w="2808" w:type="dxa"/>
            <w:vAlign w:val="center"/>
          </w:tcPr>
          <w:p w:rsidR="001C0DCA" w:rsidRPr="006905A2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6905A2">
              <w:rPr>
                <w:rStyle w:val="Bodytext8pt"/>
                <w:rFonts w:ascii="HelveticaNeueLT Std" w:hAnsi="HelveticaNeueLT Std"/>
                <w:sz w:val="18"/>
              </w:rPr>
              <w:t>Ajout de données</w:t>
            </w:r>
          </w:p>
        </w:tc>
        <w:tc>
          <w:tcPr>
            <w:tcW w:w="8010" w:type="dxa"/>
            <w:vAlign w:val="center"/>
          </w:tcPr>
          <w:p w:rsidR="001C0DCA" w:rsidRPr="005C7081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5C7081">
              <w:rPr>
                <w:rStyle w:val="Bodytext8pt"/>
                <w:rFonts w:ascii="HelveticaNeueLT Std" w:hAnsi="HelveticaNeueLT Std"/>
                <w:sz w:val="18"/>
              </w:rPr>
              <w:t>Enregistrement et récupération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5C7081">
              <w:rPr>
                <w:rStyle w:val="Bodytext8pt"/>
                <w:rFonts w:ascii="HelveticaNeueLT Std" w:hAnsi="HelveticaNeueLT Std"/>
                <w:sz w:val="18"/>
              </w:rPr>
              <w:t>un sous-ensemble de données dans une commande originale, puis ajout de ces données dans les fichiers de retour.</w:t>
            </w:r>
          </w:p>
        </w:tc>
      </w:tr>
      <w:tr w:rsidR="001C0DCA" w:rsidRPr="00222B98" w:rsidTr="009B20F9">
        <w:tc>
          <w:tcPr>
            <w:tcW w:w="2808" w:type="dxa"/>
          </w:tcPr>
          <w:p w:rsidR="001C0DCA" w:rsidRPr="00222B98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Extension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 avis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expédition anticipé</w:t>
            </w:r>
          </w:p>
        </w:tc>
        <w:tc>
          <w:tcPr>
            <w:tcW w:w="8010" w:type="dxa"/>
          </w:tcPr>
          <w:p w:rsidR="001C0DCA" w:rsidRPr="00222B98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Permettre la réception partielle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 avis dans le système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exécution de commandes WebForms afin de pouvoir ajouter des informations supplémentaires, des items groupés et des exigences de partenaires commerciaux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exécution de commandes.</w:t>
            </w:r>
          </w:p>
        </w:tc>
      </w:tr>
      <w:tr w:rsidR="001C0DCA" w:rsidRPr="00222B98" w:rsidTr="009B20F9">
        <w:trPr>
          <w:trHeight w:val="648"/>
        </w:trPr>
        <w:tc>
          <w:tcPr>
            <w:tcW w:w="2808" w:type="dxa"/>
          </w:tcPr>
          <w:p w:rsidR="001C0DCA" w:rsidRPr="00222B98" w:rsidRDefault="00697F08" w:rsidP="009B20F9">
            <w:pPr>
              <w:pStyle w:val="BodyText3"/>
              <w:spacing w:before="16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Formatage</w:t>
            </w:r>
          </w:p>
        </w:tc>
        <w:tc>
          <w:tcPr>
            <w:tcW w:w="8010" w:type="dxa"/>
          </w:tcPr>
          <w:p w:rsidR="001C0DCA" w:rsidRPr="00222B98" w:rsidRDefault="00697F08" w:rsidP="009B20F9">
            <w:pPr>
              <w:pStyle w:val="BodyText3"/>
              <w:spacing w:before="16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Modification des valeurs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 champ de données spécifique.</w:t>
            </w:r>
          </w:p>
        </w:tc>
      </w:tr>
      <w:tr w:rsidR="001C0DCA" w:rsidRPr="00222B98" w:rsidTr="009B20F9">
        <w:tc>
          <w:tcPr>
            <w:tcW w:w="2808" w:type="dxa"/>
            <w:tcBorders>
              <w:bottom w:val="dotted" w:sz="12" w:space="0" w:color="1FA9DF"/>
            </w:tcBorders>
          </w:tcPr>
          <w:p w:rsidR="001C0DCA" w:rsidRPr="00222B98" w:rsidRDefault="00697F08" w:rsidP="00D05EC9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Référence croisée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</w:tcPr>
          <w:p w:rsidR="001C0DCA" w:rsidRPr="00222B98" w:rsidRDefault="00697F08" w:rsidP="009B20F9">
            <w:pPr>
              <w:pStyle w:val="BodyText3"/>
              <w:spacing w:before="0" w:after="120" w:line="240" w:lineRule="auto"/>
              <w:ind w:right="144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Conversion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une valeur vers une autre sans changer la signification commerciale, où la valeur « A » est toujours égale à la valeur « B ».</w:t>
            </w:r>
          </w:p>
        </w:tc>
      </w:tr>
      <w:tr w:rsidR="001C0DCA" w:rsidRPr="00222B98" w:rsidTr="009B20F9"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222B98" w:rsidRDefault="00697F08" w:rsidP="00887C1F">
            <w:pPr>
              <w:pStyle w:val="BodyText3"/>
              <w:spacing w:before="12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5pt0"/>
                <w:rFonts w:ascii="HelveticaNeueLT Std" w:hAnsi="HelveticaNeueLT Std"/>
                <w:sz w:val="18"/>
              </w:rPr>
              <w:t>MODIFICATIONS DE FICHIER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222B98" w:rsidRDefault="00697F08" w:rsidP="00887C1F">
            <w:pPr>
              <w:pStyle w:val="BodyText3"/>
              <w:spacing w:before="12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Modifications apportées à une structure de fichiers ne changeant pas le contenu des données.</w:t>
            </w:r>
          </w:p>
        </w:tc>
      </w:tr>
      <w:tr w:rsidR="001C0DCA" w:rsidRPr="00222B98" w:rsidTr="009B20F9">
        <w:trPr>
          <w:trHeight w:val="576"/>
        </w:trPr>
        <w:tc>
          <w:tcPr>
            <w:tcW w:w="2808" w:type="dxa"/>
          </w:tcPr>
          <w:p w:rsidR="001C0DCA" w:rsidRPr="00222B98" w:rsidRDefault="00697F08" w:rsidP="00887C1F">
            <w:pPr>
              <w:pStyle w:val="BodyText3"/>
              <w:spacing w:before="15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Division de documents</w:t>
            </w:r>
          </w:p>
        </w:tc>
        <w:tc>
          <w:tcPr>
            <w:tcW w:w="8010" w:type="dxa"/>
          </w:tcPr>
          <w:p w:rsidR="001C0DCA" w:rsidRPr="00222B98" w:rsidRDefault="00697F08" w:rsidP="009B20F9">
            <w:pPr>
              <w:pStyle w:val="BodyText3"/>
              <w:spacing w:before="150" w:line="240" w:lineRule="auto"/>
              <w:ind w:right="144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Création de plusieurs documents ou fichiers à partir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 seul document ou fichier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origine selon des critères établis.</w:t>
            </w:r>
          </w:p>
        </w:tc>
      </w:tr>
      <w:tr w:rsidR="001C0DCA" w:rsidRPr="00222B98" w:rsidTr="009B20F9">
        <w:trPr>
          <w:trHeight w:val="504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Consolidation des avis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expédition anticipés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222B98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Regroupement de plusieurs documents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expédition dans un seul fichier selon des critères établis.</w:t>
            </w:r>
          </w:p>
        </w:tc>
      </w:tr>
      <w:tr w:rsidR="001C0DCA" w:rsidRPr="00222B98" w:rsidTr="009B20F9">
        <w:trPr>
          <w:trHeight w:val="432"/>
        </w:trPr>
        <w:tc>
          <w:tcPr>
            <w:tcW w:w="2808" w:type="dxa"/>
            <w:tcBorders>
              <w:top w:val="dotted" w:sz="12" w:space="0" w:color="1FA9DF"/>
            </w:tcBorders>
            <w:vAlign w:val="center"/>
          </w:tcPr>
          <w:p w:rsidR="001C0DCA" w:rsidRPr="00222B98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5pt0"/>
                <w:rFonts w:ascii="HelveticaNeueLT Std" w:hAnsi="HelveticaNeueLT Std"/>
                <w:sz w:val="18"/>
              </w:rPr>
              <w:t>MODIFICATIONS DE DONNÉES</w:t>
            </w:r>
          </w:p>
        </w:tc>
        <w:tc>
          <w:tcPr>
            <w:tcW w:w="8010" w:type="dxa"/>
            <w:tcBorders>
              <w:top w:val="dotted" w:sz="12" w:space="0" w:color="1FA9DF"/>
            </w:tcBorders>
            <w:vAlign w:val="center"/>
          </w:tcPr>
          <w:p w:rsidR="001C0DCA" w:rsidRPr="00222B98" w:rsidRDefault="00697F08" w:rsidP="00D05EC9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Modification des valeurs de certaines données au moyen de règles administratives ou de critères SI-ALORS-SINON.</w:t>
            </w:r>
          </w:p>
        </w:tc>
      </w:tr>
      <w:tr w:rsidR="001C0DCA" w:rsidRPr="00222B98" w:rsidTr="009B20F9">
        <w:trPr>
          <w:trHeight w:val="315"/>
        </w:trPr>
        <w:tc>
          <w:tcPr>
            <w:tcW w:w="2808" w:type="dxa"/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Fusion/séparation</w:t>
            </w:r>
          </w:p>
        </w:tc>
        <w:tc>
          <w:tcPr>
            <w:tcW w:w="8010" w:type="dxa"/>
            <w:vAlign w:val="center"/>
          </w:tcPr>
          <w:p w:rsidR="001C0DCA" w:rsidRPr="005C7081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5C7081">
              <w:rPr>
                <w:rStyle w:val="Bodytext8pt"/>
                <w:rFonts w:ascii="HelveticaNeueLT Std" w:hAnsi="HelveticaNeueLT Std"/>
                <w:sz w:val="18"/>
              </w:rPr>
              <w:t>Combinaison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5C7081">
              <w:rPr>
                <w:rStyle w:val="Bodytext8pt"/>
                <w:rFonts w:ascii="HelveticaNeueLT Std" w:hAnsi="HelveticaNeueLT Std"/>
                <w:sz w:val="18"/>
              </w:rPr>
              <w:t>éléments de données dans un seul champ ou division du contenu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5C7081">
              <w:rPr>
                <w:rStyle w:val="Bodytext8pt"/>
                <w:rFonts w:ascii="HelveticaNeueLT Std" w:hAnsi="HelveticaNeueLT Std"/>
                <w:sz w:val="18"/>
              </w:rPr>
              <w:t>un champ en plusieurs éléments.</w:t>
            </w:r>
          </w:p>
        </w:tc>
      </w:tr>
      <w:tr w:rsidR="001C0DCA" w:rsidRPr="00222B98" w:rsidTr="009B20F9">
        <w:trPr>
          <w:trHeight w:val="387"/>
        </w:trPr>
        <w:tc>
          <w:tcPr>
            <w:tcW w:w="2808" w:type="dxa"/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Règles chronologiques</w:t>
            </w:r>
          </w:p>
        </w:tc>
        <w:tc>
          <w:tcPr>
            <w:tcW w:w="8010" w:type="dxa"/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Modification de champs de données ou d</w:t>
            </w:r>
            <w:r w:rsidR="00DF63E3">
              <w:rPr>
                <w:rStyle w:val="Bodytext8pt"/>
                <w:rFonts w:ascii="HelveticaNeueLT Std" w:hAnsi="HelveticaNeueLT Std"/>
                <w:sz w:val="18"/>
              </w:rPr>
              <w:t>’</w:t>
            </w:r>
            <w:r w:rsidRPr="00222B98">
              <w:rPr>
                <w:rStyle w:val="Bodytext8pt"/>
                <w:rFonts w:ascii="HelveticaNeueLT Std" w:hAnsi="HelveticaNeueLT Std"/>
                <w:sz w:val="18"/>
              </w:rPr>
              <w:t>une logique pour calculer des dates spécifiques.</w:t>
            </w:r>
          </w:p>
        </w:tc>
      </w:tr>
      <w:tr w:rsidR="001C0DCA" w:rsidRPr="00222B98" w:rsidTr="009B20F9">
        <w:trPr>
          <w:trHeight w:val="252"/>
        </w:trPr>
        <w:tc>
          <w:tcPr>
            <w:tcW w:w="2808" w:type="dxa"/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Règles fiscales</w:t>
            </w:r>
          </w:p>
        </w:tc>
        <w:tc>
          <w:tcPr>
            <w:tcW w:w="8010" w:type="dxa"/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Calculs de codes fiscaux et de montants.</w:t>
            </w:r>
          </w:p>
        </w:tc>
      </w:tr>
      <w:tr w:rsidR="001C0DCA" w:rsidRPr="00222B98" w:rsidTr="009B20F9">
        <w:trPr>
          <w:trHeight w:val="360"/>
        </w:trPr>
        <w:tc>
          <w:tcPr>
            <w:tcW w:w="2808" w:type="dxa"/>
            <w:tcBorders>
              <w:bottom w:val="dotted" w:sz="12" w:space="0" w:color="1FA9DF"/>
            </w:tcBorders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ind w:left="173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 xml:space="preserve">Règles tarifaires </w:t>
            </w:r>
          </w:p>
        </w:tc>
        <w:tc>
          <w:tcPr>
            <w:tcW w:w="8010" w:type="dxa"/>
            <w:tcBorders>
              <w:bottom w:val="dotted" w:sz="12" w:space="0" w:color="1FA9DF"/>
            </w:tcBorders>
            <w:vAlign w:val="center"/>
          </w:tcPr>
          <w:p w:rsidR="001C0DCA" w:rsidRPr="00222B98" w:rsidRDefault="00697F08" w:rsidP="00887C1F">
            <w:pPr>
              <w:pStyle w:val="BodyText3"/>
              <w:spacing w:before="0" w:line="240" w:lineRule="auto"/>
              <w:jc w:val="left"/>
              <w:rPr>
                <w:rFonts w:ascii="HelveticaNeueLT Std" w:hAnsi="HelveticaNeueLT Std"/>
                <w:sz w:val="18"/>
                <w:szCs w:val="18"/>
              </w:rPr>
            </w:pPr>
            <w:r w:rsidRPr="00222B98">
              <w:rPr>
                <w:rStyle w:val="Bodytext8pt"/>
                <w:rFonts w:ascii="HelveticaNeueLT Std" w:hAnsi="HelveticaNeueLT Std"/>
                <w:sz w:val="18"/>
              </w:rPr>
              <w:t>Calculs sur des valeurs de prix et des totaux.</w:t>
            </w:r>
          </w:p>
        </w:tc>
      </w:tr>
    </w:tbl>
    <w:p w:rsidR="00FA60D0" w:rsidRPr="00FA60D0" w:rsidRDefault="00697F08" w:rsidP="005C7081">
      <w:pPr>
        <w:pStyle w:val="Tablecaption0"/>
        <w:spacing w:before="200" w:line="240" w:lineRule="auto"/>
        <w:ind w:right="630"/>
        <w:rPr>
          <w:rStyle w:val="Tablecaption1"/>
          <w:rFonts w:ascii="HelveticaNeueLT Std" w:hAnsi="HelveticaNeueLT Std"/>
        </w:rPr>
      </w:pPr>
      <w:r w:rsidRPr="00FA60D0">
        <w:rPr>
          <w:rStyle w:val="Tablecaption1"/>
          <w:rFonts w:ascii="HelveticaNeueLT Std" w:hAnsi="HelveticaNeueLT Std"/>
        </w:rPr>
        <w:t>Certains modules ne s</w:t>
      </w:r>
      <w:r w:rsidR="00DF63E3" w:rsidRPr="00FA60D0">
        <w:rPr>
          <w:rStyle w:val="Tablecaption1"/>
          <w:rFonts w:ascii="HelveticaNeueLT Std" w:hAnsi="HelveticaNeueLT Std"/>
        </w:rPr>
        <w:t>’</w:t>
      </w:r>
      <w:r w:rsidRPr="00FA60D0">
        <w:rPr>
          <w:rStyle w:val="Tablecaption1"/>
          <w:rFonts w:ascii="HelveticaNeueLT Std" w:hAnsi="HelveticaNeueLT Std"/>
        </w:rPr>
        <w:t>appliquent pas à toutes les solutions et f</w:t>
      </w:r>
      <w:r w:rsidRPr="00FA60D0">
        <w:rPr>
          <w:noProof/>
        </w:rPr>
        <w:t xml:space="preserve"> </w:t>
      </w:r>
      <w:proofErr w:type="spellStart"/>
      <w:r w:rsidRPr="00FA60D0">
        <w:rPr>
          <w:rStyle w:val="Tablecaption1"/>
          <w:rFonts w:ascii="HelveticaNeueLT Std" w:hAnsi="HelveticaNeueLT Std"/>
        </w:rPr>
        <w:t>eront</w:t>
      </w:r>
      <w:proofErr w:type="spellEnd"/>
      <w:r w:rsidRPr="00FA60D0">
        <w:rPr>
          <w:rStyle w:val="Tablecaption1"/>
          <w:rFonts w:ascii="HelveticaNeueLT Std" w:hAnsi="HelveticaNeueLT Std"/>
        </w:rPr>
        <w:t xml:space="preserve"> l</w:t>
      </w:r>
      <w:r w:rsidR="00DF63E3" w:rsidRPr="00FA60D0">
        <w:rPr>
          <w:rStyle w:val="Tablecaption1"/>
          <w:rFonts w:ascii="HelveticaNeueLT Std" w:hAnsi="HelveticaNeueLT Std"/>
        </w:rPr>
        <w:t>’</w:t>
      </w:r>
      <w:r w:rsidRPr="00FA60D0">
        <w:rPr>
          <w:rStyle w:val="Tablecaption1"/>
          <w:rFonts w:ascii="HelveticaNeueLT Std" w:hAnsi="HelveticaNeueLT Std"/>
        </w:rPr>
        <w:t>objet de discussions plus détaillées durant la phase de conception du processus de mise en œuvre.</w:t>
      </w:r>
    </w:p>
    <w:p w:rsidR="00FA60D0" w:rsidRPr="00FA60D0" w:rsidRDefault="00FA60D0" w:rsidP="00FA60D0">
      <w:pPr>
        <w:rPr>
          <w:rFonts w:ascii="Helvetica" w:hAnsi="Helvetica" w:cs="Helvetica"/>
          <w:b/>
          <w:i/>
          <w:sz w:val="14"/>
          <w:szCs w:val="14"/>
        </w:rPr>
      </w:pPr>
      <w:r w:rsidRPr="00FA60D0">
        <w:rPr>
          <w:rFonts w:ascii="Helvetica" w:hAnsi="Helvetica" w:cs="Helvetica"/>
          <w:b/>
          <w:i/>
          <w:sz w:val="14"/>
          <w:szCs w:val="14"/>
        </w:rPr>
        <w:t xml:space="preserve">En cas de contradiction ou de divergence entre la version de langue anglaise du présent </w:t>
      </w:r>
      <w:proofErr w:type="spellStart"/>
      <w:r w:rsidRPr="00FA60D0">
        <w:rPr>
          <w:rFonts w:ascii="Helvetica" w:hAnsi="Helvetica" w:cs="Helvetica"/>
          <w:b/>
          <w:i/>
          <w:sz w:val="14"/>
          <w:szCs w:val="14"/>
        </w:rPr>
        <w:t>accored</w:t>
      </w:r>
      <w:proofErr w:type="spellEnd"/>
      <w:r w:rsidRPr="00FA60D0">
        <w:rPr>
          <w:rFonts w:ascii="Helvetica" w:hAnsi="Helvetica" w:cs="Helvetica"/>
          <w:b/>
          <w:i/>
          <w:sz w:val="14"/>
          <w:szCs w:val="14"/>
        </w:rPr>
        <w:t xml:space="preserve"> et toute autre version d'une autre langue, la version de langue anglaise prévaudra.</w:t>
      </w:r>
    </w:p>
    <w:sectPr w:rsidR="00FA60D0" w:rsidRPr="00FA60D0" w:rsidSect="005C7081">
      <w:headerReference w:type="default" r:id="rId7"/>
      <w:footerReference w:type="default" r:id="rId8"/>
      <w:type w:val="continuous"/>
      <w:pgSz w:w="12240" w:h="15840"/>
      <w:pgMar w:top="630" w:right="0" w:bottom="1339" w:left="720" w:header="0" w:footer="5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48" w:rsidRDefault="001F4D48">
      <w:r>
        <w:separator/>
      </w:r>
    </w:p>
  </w:endnote>
  <w:endnote w:type="continuationSeparator" w:id="0">
    <w:p w:rsidR="001F4D48" w:rsidRDefault="001F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Ex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1F" w:rsidRPr="00887C1F" w:rsidRDefault="00887C1F" w:rsidP="005C7081">
    <w:pPr>
      <w:pStyle w:val="Footer"/>
      <w:tabs>
        <w:tab w:val="clear" w:pos="4680"/>
        <w:tab w:val="clear" w:pos="9360"/>
        <w:tab w:val="left" w:pos="3258"/>
        <w:tab w:val="left" w:pos="7776"/>
        <w:tab w:val="left" w:pos="7920"/>
        <w:tab w:val="left" w:pos="9882"/>
      </w:tabs>
      <w:jc w:val="both"/>
      <w:rPr>
        <w:rFonts w:ascii="HelveticaNeueLT Std Ext" w:hAnsi="HelveticaNeueLT Std Ext"/>
        <w:color w:val="auto"/>
        <w:sz w:val="15"/>
        <w:szCs w:val="15"/>
      </w:rPr>
    </w:pPr>
    <w:r>
      <w:rPr>
        <w:rFonts w:ascii="HelveticaNeueLT Std Ext" w:hAnsi="HelveticaNeueLT Std Ext"/>
        <w:sz w:val="14"/>
      </w:rPr>
      <w:t>SPS COMMERCE, INC. | P. 612-435-9400 |</w:t>
    </w:r>
    <w:r>
      <w:tab/>
    </w:r>
    <w:r>
      <w:rPr>
        <w:rFonts w:ascii="HelveticaNeueLT Std Ext" w:hAnsi="HelveticaNeueLT Std Ext"/>
        <w:sz w:val="14"/>
      </w:rPr>
      <w:t>333 South 7th St., Suite 1000, Minneapolis, MN 55402 USA</w:t>
    </w:r>
    <w:r>
      <w:tab/>
    </w:r>
    <w:r>
      <w:rPr>
        <w:rFonts w:ascii="HelveticaNeueLT Std Ext" w:hAnsi="HelveticaNeueLT Std Ext"/>
        <w:sz w:val="14"/>
      </w:rPr>
      <w:t>|</w:t>
    </w:r>
    <w:r>
      <w:tab/>
    </w:r>
    <w:r>
      <w:rPr>
        <w:rFonts w:ascii="HelveticaNeueLT Std Ext" w:hAnsi="HelveticaNeueLT Std Ext"/>
        <w:color w:val="1FA9DF"/>
        <w:sz w:val="14"/>
      </w:rPr>
      <w:t>spscommerce.com</w:t>
    </w:r>
    <w:r>
      <w:tab/>
    </w:r>
    <w:r>
      <w:rPr>
        <w:rFonts w:ascii="HelveticaNeueLT Std Ext" w:hAnsi="HelveticaNeueLT Std Ext"/>
        <w:color w:val="auto"/>
        <w:sz w:val="15"/>
      </w:rPr>
      <w:t>2015DEC02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48" w:rsidRDefault="001F4D48"/>
  </w:footnote>
  <w:footnote w:type="continuationSeparator" w:id="0">
    <w:p w:rsidR="001F4D48" w:rsidRDefault="001F4D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30" w:rsidRDefault="005D3730">
    <w:pPr>
      <w:pStyle w:val="Header"/>
    </w:pPr>
    <w:r>
      <w:rPr>
        <w:noProof/>
        <w:sz w:val="2"/>
        <w:szCs w:val="2"/>
        <w:lang w:val="en-US" w:eastAsia="en-US" w:bidi="ar-SA"/>
      </w:rPr>
      <w:drawing>
        <wp:anchor distT="0" distB="0" distL="114300" distR="114300" simplePos="0" relativeHeight="251659264" behindDoc="1" locked="0" layoutInCell="0" allowOverlap="0" wp14:anchorId="5570BFF8" wp14:editId="618178EA">
          <wp:simplePos x="0" y="0"/>
          <wp:positionH relativeFrom="column">
            <wp:posOffset>-458800</wp:posOffset>
          </wp:positionH>
          <wp:positionV relativeFrom="page">
            <wp:posOffset>3175</wp:posOffset>
          </wp:positionV>
          <wp:extent cx="7772400" cy="10058400"/>
          <wp:effectExtent l="0" t="0" r="0" b="0"/>
          <wp:wrapNone/>
          <wp:docPr id="1" name="Picture 1" descr="D:\Mahe\19.05.2017\377102 - United Language Group - English to Multi\Pages from CEP-Plan-Definitions_Page_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he\19.05.2017\377102 - United Language Group - English to Multi\Pages from CEP-Plan-Definitions_Pag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hideSpellingErrors/>
  <w:hideGrammaticalErrors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0DCA"/>
    <w:rsid w:val="00066768"/>
    <w:rsid w:val="000F4F4B"/>
    <w:rsid w:val="001C0DCA"/>
    <w:rsid w:val="001D48D0"/>
    <w:rsid w:val="001D6BCB"/>
    <w:rsid w:val="001F4D48"/>
    <w:rsid w:val="002052FC"/>
    <w:rsid w:val="00216E7D"/>
    <w:rsid w:val="00222B98"/>
    <w:rsid w:val="00257FEA"/>
    <w:rsid w:val="002B6AE2"/>
    <w:rsid w:val="003348B4"/>
    <w:rsid w:val="003A2F55"/>
    <w:rsid w:val="00462A21"/>
    <w:rsid w:val="0051070C"/>
    <w:rsid w:val="005C7081"/>
    <w:rsid w:val="005D3730"/>
    <w:rsid w:val="00677070"/>
    <w:rsid w:val="006905A2"/>
    <w:rsid w:val="00695BC1"/>
    <w:rsid w:val="00697F08"/>
    <w:rsid w:val="00862770"/>
    <w:rsid w:val="00887C1F"/>
    <w:rsid w:val="008B0131"/>
    <w:rsid w:val="00940A83"/>
    <w:rsid w:val="009B20F9"/>
    <w:rsid w:val="00A346D3"/>
    <w:rsid w:val="00BE7E49"/>
    <w:rsid w:val="00C078A6"/>
    <w:rsid w:val="00D05EC9"/>
    <w:rsid w:val="00DF63E3"/>
    <w:rsid w:val="00F1068D"/>
    <w:rsid w:val="00F6514C"/>
    <w:rsid w:val="00F858FB"/>
    <w:rsid w:val="00F85B17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2Exact0">
    <w:name w:val="Body text (2) Exact"/>
    <w:basedOn w:val="Bodytext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3"/>
      <w:w w:val="100"/>
      <w:position w:val="0"/>
      <w:sz w:val="14"/>
      <w:szCs w:val="14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pt">
    <w:name w:val="Body text + 9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23pt">
    <w:name w:val="Body text + 23 pt"/>
    <w:aliases w:val="Bold,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fr-CA" w:eastAsia="fr-CA" w:bidi="fr-CA"/>
    </w:rPr>
  </w:style>
  <w:style w:type="character" w:customStyle="1" w:styleId="Bodytext18pt">
    <w:name w:val="Body text + 18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fr-CA" w:eastAsia="fr-CA" w:bidi="fr-CA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fr-CA" w:eastAsia="fr-CA" w:bidi="fr-CA"/>
    </w:rPr>
  </w:style>
  <w:style w:type="character" w:customStyle="1" w:styleId="Bodytext85pt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CA" w:eastAsia="fr-CA" w:bidi="fr-CA"/>
    </w:rPr>
  </w:style>
  <w:style w:type="character" w:customStyle="1" w:styleId="Bodytext85pt0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fr-CA" w:eastAsia="fr-CA" w:bidi="fr-CA"/>
    </w:rPr>
  </w:style>
  <w:style w:type="character" w:customStyle="1" w:styleId="Bodytext8pt">
    <w:name w:val="Body text + 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fr-CA" w:eastAsia="fr-CA" w:bidi="fr-CA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20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5ABDC"/>
      <w:spacing w:val="0"/>
      <w:w w:val="100"/>
      <w:position w:val="0"/>
      <w:sz w:val="12"/>
      <w:szCs w:val="12"/>
      <w:u w:val="none"/>
      <w:lang w:val="fr-CA" w:eastAsia="fr-CA" w:bidi="fr-CA"/>
    </w:rPr>
  </w:style>
  <w:style w:type="paragraph" w:customStyle="1" w:styleId="Bodytext2">
    <w:name w:val="Body text (2)"/>
    <w:basedOn w:val="Normal"/>
    <w:link w:val="Bodytext2Exact"/>
    <w:pPr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BodyText3">
    <w:name w:val="Body Text3"/>
    <w:basedOn w:val="Normal"/>
    <w:link w:val="Bodytext"/>
    <w:pPr>
      <w:spacing w:before="180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pPr>
      <w:spacing w:line="0" w:lineRule="atLeas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F"/>
    <w:rPr>
      <w:color w:val="000000"/>
    </w:rPr>
  </w:style>
  <w:style w:type="paragraph" w:styleId="Revision">
    <w:name w:val="Revision"/>
    <w:hidden/>
    <w:uiPriority w:val="99"/>
    <w:semiHidden/>
    <w:rsid w:val="00222B98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CA" w:eastAsia="fr-CA" w:bidi="fr-C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link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Bodytext2Exact0">
    <w:name w:val="Body text (2) Exact"/>
    <w:basedOn w:val="Bodytext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3"/>
      <w:w w:val="100"/>
      <w:position w:val="0"/>
      <w:sz w:val="14"/>
      <w:szCs w:val="14"/>
      <w:u w:val="none"/>
      <w:lang w:val="fr-CA" w:eastAsia="fr-CA" w:bidi="fr-CA"/>
    </w:rPr>
  </w:style>
  <w:style w:type="character" w:customStyle="1" w:styleId="Bodytext">
    <w:name w:val="Body text_"/>
    <w:basedOn w:val="DefaultParagraphFont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9pt">
    <w:name w:val="Body text + 9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CA" w:eastAsia="fr-CA" w:bidi="fr-CA"/>
    </w:rPr>
  </w:style>
  <w:style w:type="character" w:customStyle="1" w:styleId="Bodytext23pt">
    <w:name w:val="Body text + 23 pt"/>
    <w:aliases w:val="Bold,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46"/>
      <w:szCs w:val="46"/>
      <w:u w:val="none"/>
      <w:lang w:val="fr-CA" w:eastAsia="fr-CA" w:bidi="fr-CA"/>
    </w:rPr>
  </w:style>
  <w:style w:type="character" w:customStyle="1" w:styleId="Bodytext18pt">
    <w:name w:val="Body text + 18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fr-CA" w:eastAsia="fr-CA" w:bidi="fr-CA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fr-CA" w:eastAsia="fr-CA" w:bidi="fr-CA"/>
    </w:rPr>
  </w:style>
  <w:style w:type="character" w:customStyle="1" w:styleId="Bodytext85pt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CA" w:eastAsia="fr-CA" w:bidi="fr-CA"/>
    </w:rPr>
  </w:style>
  <w:style w:type="character" w:customStyle="1" w:styleId="Bodytext85pt0">
    <w:name w:val="Body text + 8.5 pt"/>
    <w:aliases w:val="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1A171C"/>
      <w:spacing w:val="0"/>
      <w:w w:val="100"/>
      <w:position w:val="0"/>
      <w:sz w:val="17"/>
      <w:szCs w:val="17"/>
      <w:u w:val="none"/>
      <w:lang w:val="fr-CA" w:eastAsia="fr-CA" w:bidi="fr-CA"/>
    </w:rPr>
  </w:style>
  <w:style w:type="character" w:customStyle="1" w:styleId="Bodytext8pt">
    <w:name w:val="Body text + 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6"/>
      <w:szCs w:val="16"/>
      <w:u w:val="none"/>
      <w:lang w:val="fr-CA" w:eastAsia="fr-CA" w:bidi="fr-CA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58585A"/>
      <w:spacing w:val="0"/>
      <w:w w:val="100"/>
      <w:position w:val="0"/>
      <w:sz w:val="12"/>
      <w:szCs w:val="12"/>
      <w:u w:val="none"/>
      <w:lang w:val="fr-CA" w:eastAsia="fr-CA" w:bidi="fr-CA"/>
    </w:rPr>
  </w:style>
  <w:style w:type="character" w:customStyle="1" w:styleId="BodyText20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45ABDC"/>
      <w:spacing w:val="0"/>
      <w:w w:val="100"/>
      <w:position w:val="0"/>
      <w:sz w:val="12"/>
      <w:szCs w:val="12"/>
      <w:u w:val="none"/>
      <w:lang w:val="fr-CA" w:eastAsia="fr-CA" w:bidi="fr-CA"/>
    </w:rPr>
  </w:style>
  <w:style w:type="paragraph" w:customStyle="1" w:styleId="Bodytext2">
    <w:name w:val="Body text (2)"/>
    <w:basedOn w:val="Normal"/>
    <w:link w:val="Bodytext2Exact"/>
    <w:pPr>
      <w:spacing w:line="0" w:lineRule="atLeast"/>
    </w:pPr>
    <w:rPr>
      <w:rFonts w:ascii="Arial" w:eastAsia="Arial" w:hAnsi="Arial" w:cs="Arial"/>
      <w:spacing w:val="3"/>
      <w:sz w:val="14"/>
      <w:szCs w:val="14"/>
    </w:rPr>
  </w:style>
  <w:style w:type="paragraph" w:customStyle="1" w:styleId="BodyText3">
    <w:name w:val="Body Text3"/>
    <w:basedOn w:val="Normal"/>
    <w:link w:val="Bodytext"/>
    <w:pPr>
      <w:spacing w:before="1800" w:line="0" w:lineRule="atLeast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al"/>
    <w:link w:val="Tablecaption"/>
    <w:pPr>
      <w:spacing w:line="0" w:lineRule="atLeast"/>
    </w:pPr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7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F"/>
    <w:rPr>
      <w:color w:val="000000"/>
    </w:rPr>
  </w:style>
  <w:style w:type="paragraph" w:styleId="Revision">
    <w:name w:val="Revision"/>
    <w:hidden/>
    <w:uiPriority w:val="99"/>
    <w:semiHidden/>
    <w:rsid w:val="00222B98"/>
    <w:pPr>
      <w:widowControl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Communications, LLC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Welkyn user04</dc:creator>
  <cp:lastModifiedBy>Joe Selinski</cp:lastModifiedBy>
  <cp:revision>2</cp:revision>
  <cp:lastPrinted>2017-05-19T17:38:00Z</cp:lastPrinted>
  <dcterms:created xsi:type="dcterms:W3CDTF">2017-06-23T14:38:00Z</dcterms:created>
  <dcterms:modified xsi:type="dcterms:W3CDTF">2017-06-23T14:38:00Z</dcterms:modified>
</cp:coreProperties>
</file>